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76B" w:rsidRPr="00C6776B" w:rsidRDefault="008003BE" w:rsidP="00C6776B">
      <w:pPr>
        <w:ind w:left="3540" w:hanging="3540"/>
        <w:rPr>
          <w:rFonts w:ascii="Arial" w:hAnsi="Arial" w:cs="Arial"/>
          <w:b/>
          <w:sz w:val="32"/>
          <w:szCs w:val="32"/>
        </w:rPr>
      </w:pPr>
      <w:r>
        <w:rPr>
          <w:noProof/>
        </w:rPr>
        <w:drawing>
          <wp:inline distT="0" distB="0" distL="0" distR="0">
            <wp:extent cx="1538745" cy="866775"/>
            <wp:effectExtent l="0" t="0" r="4445" b="0"/>
            <wp:docPr id="1" name="Image 1" descr="C:\Users\011561r\AppData\Local\Microsoft\Windows\Temporary Internet Files\Content.Outlook\CVI91BYX\CG44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1561r\AppData\Local\Microsoft\Windows\Temporary Internet Files\Content.Outlook\CVI91BYX\CG44_quadr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7531" cy="888623"/>
                    </a:xfrm>
                    <a:prstGeom prst="rect">
                      <a:avLst/>
                    </a:prstGeom>
                    <a:noFill/>
                    <a:ln>
                      <a:noFill/>
                    </a:ln>
                  </pic:spPr>
                </pic:pic>
              </a:graphicData>
            </a:graphic>
          </wp:inline>
        </w:drawing>
      </w:r>
      <w:r>
        <w:rPr>
          <w:rFonts w:ascii="Arial" w:hAnsi="Arial" w:cs="Arial"/>
          <w:b/>
          <w:sz w:val="40"/>
          <w:szCs w:val="40"/>
        </w:rPr>
        <w:tab/>
      </w:r>
      <w:r>
        <w:rPr>
          <w:rFonts w:ascii="Arial" w:hAnsi="Arial" w:cs="Arial"/>
          <w:b/>
          <w:sz w:val="32"/>
          <w:szCs w:val="32"/>
        </w:rPr>
        <w:t>Instructions relatives aux activités économiques sur le domaine public fluvial départemental</w:t>
      </w:r>
    </w:p>
    <w:p w:rsidR="00940313" w:rsidRDefault="00940313">
      <w:pPr>
        <w:rPr>
          <w:rFonts w:ascii="Arial" w:hAnsi="Arial" w:cs="Arial"/>
          <w:sz w:val="20"/>
          <w:szCs w:val="20"/>
        </w:rPr>
      </w:pPr>
    </w:p>
    <w:p w:rsidR="00940313" w:rsidRDefault="008003BE">
      <w:pPr>
        <w:jc w:val="center"/>
        <w:rPr>
          <w:rFonts w:ascii="Arial" w:hAnsi="Arial" w:cs="Arial"/>
          <w:sz w:val="28"/>
          <w:szCs w:val="28"/>
        </w:rPr>
      </w:pPr>
      <w:r>
        <w:rPr>
          <w:rFonts w:ascii="Arial" w:hAnsi="Arial" w:cs="Arial"/>
          <w:sz w:val="28"/>
          <w:szCs w:val="28"/>
        </w:rPr>
        <w:t>Règlement de la mise en concurrence</w:t>
      </w:r>
    </w:p>
    <w:p w:rsidR="00940313" w:rsidRDefault="00940313" w:rsidP="00894914">
      <w:pPr>
        <w:jc w:val="both"/>
        <w:rPr>
          <w:rFonts w:ascii="Arial" w:hAnsi="Arial" w:cs="Arial"/>
          <w:sz w:val="20"/>
          <w:szCs w:val="20"/>
        </w:rPr>
      </w:pPr>
    </w:p>
    <w:p w:rsidR="00940313" w:rsidRDefault="008003BE" w:rsidP="00894914">
      <w:pPr>
        <w:jc w:val="both"/>
        <w:rPr>
          <w:rFonts w:ascii="Arial" w:hAnsi="Arial" w:cs="Arial"/>
        </w:rPr>
      </w:pPr>
      <w:r>
        <w:rPr>
          <w:rFonts w:ascii="Arial" w:hAnsi="Arial" w:cs="Arial"/>
        </w:rPr>
        <w:t>Ce document présente le déroulement de la procédure et notamment les modalités de sélection des candidatures.</w:t>
      </w:r>
    </w:p>
    <w:p w:rsidR="00C6776B" w:rsidRPr="00D8674C" w:rsidRDefault="00C6776B" w:rsidP="00C6776B">
      <w:pPr>
        <w:pStyle w:val="Titre1"/>
        <w:rPr>
          <w:rFonts w:ascii="Arial" w:hAnsi="Arial" w:cs="Arial"/>
          <w:b/>
          <w:bCs/>
          <w:color w:val="auto"/>
          <w:sz w:val="22"/>
          <w:szCs w:val="22"/>
        </w:rPr>
      </w:pPr>
      <w:r w:rsidRPr="00D8674C">
        <w:rPr>
          <w:rFonts w:ascii="Arial" w:hAnsi="Arial" w:cs="Arial"/>
          <w:b/>
          <w:bCs/>
          <w:color w:val="auto"/>
          <w:sz w:val="22"/>
          <w:szCs w:val="22"/>
        </w:rPr>
        <w:t>Article 1 – Manifestation d’intérêt spontanée</w:t>
      </w:r>
    </w:p>
    <w:p w:rsidR="00C6776B" w:rsidRPr="00D8674C" w:rsidRDefault="00C6776B" w:rsidP="00C6776B">
      <w:pPr>
        <w:jc w:val="both"/>
        <w:rPr>
          <w:rFonts w:ascii="Arial" w:hAnsi="Arial" w:cs="Arial"/>
        </w:rPr>
      </w:pPr>
      <w:r w:rsidRPr="00D8674C">
        <w:rPr>
          <w:rFonts w:ascii="Arial" w:hAnsi="Arial" w:cs="Arial"/>
        </w:rPr>
        <w:t>Le Département de Loire-Atlantique a été saisi</w:t>
      </w:r>
      <w:bookmarkStart w:id="0" w:name="_GoBack"/>
      <w:bookmarkEnd w:id="0"/>
      <w:r w:rsidRPr="00D8674C">
        <w:rPr>
          <w:rFonts w:ascii="Arial" w:hAnsi="Arial" w:cs="Arial"/>
        </w:rPr>
        <w:t>e d’une demande d’installation d’un ponton flottant au lieu-dit Port Tressé à Plessé, dans l’objectif d’amarrer à court et moyen terme, 2 bateaux sans permis à vocation de location aux particuliers, et 1 bateau pour l’organisation de sorties à la journée, avec skipper, dans un but de découverte de l’environnement ou à des fins d’initiation à la pêche.</w:t>
      </w:r>
    </w:p>
    <w:p w:rsidR="00940313" w:rsidRPr="00D8674C" w:rsidRDefault="008003BE" w:rsidP="00C6776B">
      <w:pPr>
        <w:pStyle w:val="Titre1"/>
        <w:rPr>
          <w:rFonts w:ascii="Arial" w:hAnsi="Arial" w:cs="Arial"/>
          <w:b/>
          <w:bCs/>
          <w:color w:val="auto"/>
          <w:sz w:val="22"/>
          <w:szCs w:val="22"/>
        </w:rPr>
      </w:pPr>
      <w:bookmarkStart w:id="1" w:name="_Toc17884650"/>
      <w:r w:rsidRPr="00D8674C">
        <w:rPr>
          <w:rFonts w:ascii="Arial" w:hAnsi="Arial" w:cs="Arial"/>
          <w:b/>
          <w:bCs/>
          <w:color w:val="auto"/>
          <w:sz w:val="22"/>
          <w:szCs w:val="22"/>
        </w:rPr>
        <w:t xml:space="preserve">Article </w:t>
      </w:r>
      <w:bookmarkEnd w:id="1"/>
      <w:r w:rsidR="00C6776B" w:rsidRPr="00D8674C">
        <w:rPr>
          <w:rFonts w:ascii="Arial" w:hAnsi="Arial" w:cs="Arial"/>
          <w:b/>
          <w:bCs/>
          <w:color w:val="auto"/>
          <w:sz w:val="22"/>
          <w:szCs w:val="22"/>
        </w:rPr>
        <w:t xml:space="preserve">2 - </w:t>
      </w:r>
      <w:r w:rsidRPr="00D8674C">
        <w:rPr>
          <w:rFonts w:ascii="Arial" w:hAnsi="Arial" w:cs="Arial"/>
          <w:b/>
          <w:bCs/>
          <w:color w:val="auto"/>
          <w:sz w:val="22"/>
          <w:szCs w:val="22"/>
        </w:rPr>
        <w:t>Identification de la personne organisant la procédure</w:t>
      </w:r>
    </w:p>
    <w:p w:rsidR="00940313" w:rsidRDefault="008003BE">
      <w:pPr>
        <w:spacing w:after="0" w:line="240" w:lineRule="auto"/>
        <w:jc w:val="both"/>
        <w:rPr>
          <w:rFonts w:ascii="Arial" w:hAnsi="Arial" w:cs="Arial"/>
        </w:rPr>
      </w:pPr>
      <w:r>
        <w:rPr>
          <w:rFonts w:ascii="Arial" w:hAnsi="Arial" w:cs="Arial"/>
        </w:rPr>
        <w:t>Département de Loire-Atlantique</w:t>
      </w:r>
    </w:p>
    <w:p w:rsidR="00940313" w:rsidRDefault="008003BE">
      <w:pPr>
        <w:spacing w:after="0" w:line="240" w:lineRule="auto"/>
        <w:jc w:val="both"/>
        <w:rPr>
          <w:rFonts w:ascii="Arial" w:hAnsi="Arial" w:cs="Arial"/>
        </w:rPr>
      </w:pPr>
      <w:r>
        <w:rPr>
          <w:rFonts w:ascii="Arial" w:hAnsi="Arial" w:cs="Arial"/>
        </w:rPr>
        <w:t>Service infrastructures voies navigables</w:t>
      </w:r>
    </w:p>
    <w:p w:rsidR="00940313" w:rsidRDefault="008003BE">
      <w:pPr>
        <w:spacing w:after="0" w:line="240" w:lineRule="auto"/>
        <w:jc w:val="both"/>
        <w:rPr>
          <w:rFonts w:ascii="Arial" w:hAnsi="Arial" w:cs="Arial"/>
        </w:rPr>
      </w:pPr>
      <w:r>
        <w:rPr>
          <w:rFonts w:ascii="Arial" w:hAnsi="Arial" w:cs="Arial"/>
        </w:rPr>
        <w:t>Hôtel du Département</w:t>
      </w:r>
    </w:p>
    <w:p w:rsidR="00940313" w:rsidRDefault="008003BE">
      <w:pPr>
        <w:spacing w:after="0" w:line="240" w:lineRule="auto"/>
        <w:jc w:val="both"/>
        <w:rPr>
          <w:rFonts w:ascii="Arial" w:hAnsi="Arial" w:cs="Arial"/>
        </w:rPr>
      </w:pPr>
      <w:r>
        <w:rPr>
          <w:rFonts w:ascii="Arial" w:hAnsi="Arial" w:cs="Arial"/>
        </w:rPr>
        <w:t>3 quai Ceineray</w:t>
      </w:r>
    </w:p>
    <w:p w:rsidR="00940313" w:rsidRDefault="008003BE">
      <w:pPr>
        <w:spacing w:after="0" w:line="240" w:lineRule="auto"/>
        <w:jc w:val="both"/>
        <w:rPr>
          <w:rFonts w:ascii="Arial" w:hAnsi="Arial" w:cs="Arial"/>
        </w:rPr>
      </w:pPr>
      <w:r>
        <w:rPr>
          <w:rFonts w:ascii="Arial" w:hAnsi="Arial" w:cs="Arial"/>
        </w:rPr>
        <w:t>CS 94109</w:t>
      </w:r>
    </w:p>
    <w:p w:rsidR="00940313" w:rsidRDefault="008003BE">
      <w:pPr>
        <w:spacing w:after="0" w:line="240" w:lineRule="auto"/>
        <w:jc w:val="both"/>
        <w:rPr>
          <w:rFonts w:ascii="Arial" w:hAnsi="Arial" w:cs="Arial"/>
        </w:rPr>
      </w:pPr>
      <w:r>
        <w:rPr>
          <w:rFonts w:ascii="Arial" w:hAnsi="Arial" w:cs="Arial"/>
        </w:rPr>
        <w:t>44041 Nantes cedex 1</w:t>
      </w:r>
    </w:p>
    <w:p w:rsidR="00940313" w:rsidRPr="00D8674C" w:rsidRDefault="008003BE" w:rsidP="00C6776B">
      <w:pPr>
        <w:pStyle w:val="Titre1"/>
        <w:rPr>
          <w:rFonts w:ascii="Arial" w:hAnsi="Arial" w:cs="Arial"/>
          <w:b/>
          <w:bCs/>
          <w:color w:val="auto"/>
          <w:sz w:val="22"/>
          <w:szCs w:val="22"/>
        </w:rPr>
      </w:pPr>
      <w:bookmarkStart w:id="2" w:name="_Toc17884651"/>
      <w:r w:rsidRPr="00D8674C">
        <w:rPr>
          <w:rFonts w:ascii="Arial" w:hAnsi="Arial" w:cs="Arial"/>
          <w:b/>
          <w:bCs/>
          <w:color w:val="auto"/>
          <w:sz w:val="22"/>
          <w:szCs w:val="22"/>
        </w:rPr>
        <w:t xml:space="preserve">Article </w:t>
      </w:r>
      <w:bookmarkEnd w:id="2"/>
      <w:r w:rsidR="00C6776B" w:rsidRPr="00D8674C">
        <w:rPr>
          <w:rFonts w:ascii="Arial" w:hAnsi="Arial" w:cs="Arial"/>
          <w:b/>
          <w:bCs/>
          <w:color w:val="auto"/>
          <w:sz w:val="22"/>
          <w:szCs w:val="22"/>
        </w:rPr>
        <w:t xml:space="preserve">3 - </w:t>
      </w:r>
      <w:r w:rsidRPr="00D8674C">
        <w:rPr>
          <w:rFonts w:ascii="Arial" w:hAnsi="Arial" w:cs="Arial"/>
          <w:b/>
          <w:bCs/>
          <w:color w:val="auto"/>
          <w:sz w:val="22"/>
          <w:szCs w:val="22"/>
        </w:rPr>
        <w:t>Objet de la procédure</w:t>
      </w:r>
    </w:p>
    <w:p w:rsidR="00940313" w:rsidRDefault="008003BE">
      <w:pPr>
        <w:spacing w:before="120" w:after="120" w:line="240" w:lineRule="auto"/>
        <w:jc w:val="both"/>
        <w:rPr>
          <w:rFonts w:ascii="Arial" w:hAnsi="Arial" w:cs="Arial"/>
        </w:rPr>
      </w:pPr>
      <w:r>
        <w:rPr>
          <w:rFonts w:ascii="Arial" w:hAnsi="Arial" w:cs="Arial"/>
        </w:rPr>
        <w:t xml:space="preserve">L’ordonnance n°2017-562 du 19 avril 2017 relative à la propriété des personnes publiques, prise en application de la loi n°2016-1691 du 21 avril 2016 relative à la transparence, à la lutte contre la corruption et à la modernisation de la vie économique, modifie les règles de la gestion du domaine public, sous l’influence de la jurisprudence européenne. </w:t>
      </w:r>
    </w:p>
    <w:p w:rsidR="00940313" w:rsidRDefault="008003BE">
      <w:pPr>
        <w:spacing w:before="120" w:after="120" w:line="240" w:lineRule="auto"/>
        <w:jc w:val="both"/>
        <w:rPr>
          <w:rFonts w:ascii="Arial" w:hAnsi="Arial" w:cs="Arial"/>
        </w:rPr>
      </w:pPr>
      <w:r>
        <w:rPr>
          <w:rFonts w:ascii="Arial" w:hAnsi="Arial" w:cs="Arial"/>
        </w:rPr>
        <w:t xml:space="preserve">Cette ordonnance a modifié le Code Général de la Propriété des Personnes Publiques (CG3P) : les articles L.2122-1-1 à L ;2122-1-4 viennent ainsi encadrer l’attribution d’une dépendance du domaine public fluvial pour l’exercice d’une activité économique. </w:t>
      </w:r>
    </w:p>
    <w:p w:rsidR="00940313" w:rsidRPr="00D8674C" w:rsidRDefault="008003BE" w:rsidP="00C6776B">
      <w:pPr>
        <w:pStyle w:val="Titre1"/>
        <w:rPr>
          <w:rFonts w:ascii="Arial" w:hAnsi="Arial" w:cs="Arial"/>
          <w:b/>
          <w:bCs/>
          <w:color w:val="auto"/>
          <w:sz w:val="22"/>
          <w:szCs w:val="22"/>
        </w:rPr>
      </w:pPr>
      <w:bookmarkStart w:id="3" w:name="_Toc17884652"/>
      <w:r w:rsidRPr="00D8674C">
        <w:rPr>
          <w:rFonts w:ascii="Arial" w:hAnsi="Arial" w:cs="Arial"/>
          <w:b/>
          <w:bCs/>
          <w:color w:val="auto"/>
          <w:sz w:val="22"/>
          <w:szCs w:val="22"/>
        </w:rPr>
        <w:t xml:space="preserve">Article </w:t>
      </w:r>
      <w:r w:rsidR="00C6776B" w:rsidRPr="00D8674C">
        <w:rPr>
          <w:rFonts w:ascii="Arial" w:hAnsi="Arial" w:cs="Arial"/>
          <w:b/>
          <w:bCs/>
          <w:color w:val="auto"/>
          <w:sz w:val="22"/>
          <w:szCs w:val="22"/>
        </w:rPr>
        <w:t>4</w:t>
      </w:r>
      <w:bookmarkEnd w:id="3"/>
      <w:r w:rsidR="00C6776B" w:rsidRPr="00D8674C">
        <w:rPr>
          <w:rFonts w:ascii="Arial" w:hAnsi="Arial" w:cs="Arial"/>
          <w:b/>
          <w:bCs/>
          <w:color w:val="auto"/>
          <w:sz w:val="22"/>
          <w:szCs w:val="22"/>
        </w:rPr>
        <w:t xml:space="preserve"> - C</w:t>
      </w:r>
      <w:r w:rsidRPr="00D8674C">
        <w:rPr>
          <w:rFonts w:ascii="Arial" w:hAnsi="Arial" w:cs="Arial"/>
          <w:b/>
          <w:bCs/>
          <w:color w:val="auto"/>
          <w:sz w:val="22"/>
          <w:szCs w:val="22"/>
        </w:rPr>
        <w:t>aractéristiques de la procédure</w:t>
      </w:r>
      <w:r w:rsidR="00253602" w:rsidRPr="00D8674C">
        <w:rPr>
          <w:rFonts w:ascii="Arial" w:hAnsi="Arial" w:cs="Arial"/>
          <w:b/>
          <w:bCs/>
          <w:color w:val="auto"/>
          <w:sz w:val="22"/>
          <w:szCs w:val="22"/>
        </w:rPr>
        <w:t xml:space="preserve"> </w:t>
      </w:r>
    </w:p>
    <w:p w:rsidR="00940313" w:rsidRDefault="008003BE">
      <w:pPr>
        <w:spacing w:before="120" w:after="120" w:line="240" w:lineRule="auto"/>
        <w:rPr>
          <w:rFonts w:ascii="Arial" w:hAnsi="Arial" w:cs="Arial"/>
        </w:rPr>
      </w:pPr>
      <w:r>
        <w:rPr>
          <w:rFonts w:ascii="Arial" w:hAnsi="Arial" w:cs="Arial"/>
        </w:rPr>
        <w:t>La présente procédure vise à attribuer de façon transparente les AOT</w:t>
      </w:r>
      <w:r w:rsidR="00253602">
        <w:rPr>
          <w:rFonts w:ascii="Arial" w:hAnsi="Arial" w:cs="Arial"/>
        </w:rPr>
        <w:t xml:space="preserve"> pour l’implantation d’activités commerciales.</w:t>
      </w:r>
    </w:p>
    <w:p w:rsidR="00940313" w:rsidRDefault="008003BE">
      <w:pPr>
        <w:spacing w:before="120" w:after="120" w:line="240" w:lineRule="auto"/>
        <w:jc w:val="both"/>
        <w:rPr>
          <w:rFonts w:ascii="Arial" w:hAnsi="Arial" w:cs="Arial"/>
        </w:rPr>
      </w:pPr>
      <w:r>
        <w:rPr>
          <w:rFonts w:ascii="Arial" w:hAnsi="Arial" w:cs="Arial"/>
        </w:rPr>
        <w:t>Des mesures préalables de publicité et de mise en concurrence sont donc mises en place. La procédure respecte le principe d’égalité et de traitement des candidat.es.</w:t>
      </w:r>
    </w:p>
    <w:p w:rsidR="00940313" w:rsidRDefault="008003BE">
      <w:pPr>
        <w:spacing w:before="120" w:after="120" w:line="240" w:lineRule="auto"/>
        <w:jc w:val="both"/>
        <w:rPr>
          <w:rFonts w:ascii="Arial" w:hAnsi="Arial" w:cs="Arial"/>
        </w:rPr>
      </w:pPr>
      <w:r>
        <w:rPr>
          <w:rFonts w:ascii="Arial" w:hAnsi="Arial" w:cs="Arial"/>
        </w:rPr>
        <w:t>Il est précisé que la présente procédure n’a pas pour objet d’attribuer un marché public, un accord cadre ou une convention de délégation de service public. Il n’est donc pas fait application du code des marchés publics.</w:t>
      </w:r>
    </w:p>
    <w:p w:rsidR="00940313" w:rsidRPr="00D8674C" w:rsidRDefault="008003BE" w:rsidP="00C6776B">
      <w:pPr>
        <w:pStyle w:val="Titre1"/>
        <w:rPr>
          <w:rFonts w:ascii="Arial" w:hAnsi="Arial" w:cs="Arial"/>
          <w:b/>
          <w:bCs/>
          <w:color w:val="auto"/>
          <w:sz w:val="22"/>
          <w:szCs w:val="22"/>
        </w:rPr>
      </w:pPr>
      <w:bookmarkStart w:id="4" w:name="_Toc17884653"/>
      <w:r w:rsidRPr="00D8674C">
        <w:rPr>
          <w:rFonts w:ascii="Arial" w:hAnsi="Arial" w:cs="Arial"/>
          <w:b/>
          <w:bCs/>
          <w:color w:val="auto"/>
          <w:sz w:val="22"/>
          <w:szCs w:val="22"/>
        </w:rPr>
        <w:lastRenderedPageBreak/>
        <w:t xml:space="preserve">Article </w:t>
      </w:r>
      <w:bookmarkEnd w:id="4"/>
      <w:r w:rsidR="00C6776B" w:rsidRPr="00D8674C">
        <w:rPr>
          <w:rFonts w:ascii="Arial" w:hAnsi="Arial" w:cs="Arial"/>
          <w:b/>
          <w:bCs/>
          <w:color w:val="auto"/>
          <w:sz w:val="22"/>
          <w:szCs w:val="22"/>
        </w:rPr>
        <w:t xml:space="preserve">5 - </w:t>
      </w:r>
      <w:r w:rsidRPr="00D8674C">
        <w:rPr>
          <w:rFonts w:ascii="Arial" w:hAnsi="Arial" w:cs="Arial"/>
          <w:b/>
          <w:bCs/>
          <w:color w:val="auto"/>
          <w:sz w:val="22"/>
          <w:szCs w:val="22"/>
        </w:rPr>
        <w:t xml:space="preserve">Obtention des documents </w:t>
      </w:r>
    </w:p>
    <w:p w:rsidR="00940313" w:rsidRDefault="008003BE">
      <w:pPr>
        <w:spacing w:before="120" w:after="120" w:line="240" w:lineRule="auto"/>
        <w:jc w:val="both"/>
        <w:rPr>
          <w:rFonts w:ascii="Arial" w:hAnsi="Arial" w:cs="Arial"/>
        </w:rPr>
      </w:pPr>
      <w:r>
        <w:rPr>
          <w:rFonts w:ascii="Arial" w:hAnsi="Arial" w:cs="Arial"/>
        </w:rPr>
        <w:t xml:space="preserve">L’ensemble des documents </w:t>
      </w:r>
      <w:r w:rsidR="003622B6">
        <w:rPr>
          <w:rFonts w:ascii="Arial" w:hAnsi="Arial" w:cs="Arial"/>
        </w:rPr>
        <w:t xml:space="preserve">sont à </w:t>
      </w:r>
      <w:r w:rsidR="00C6776B">
        <w:rPr>
          <w:rFonts w:ascii="Arial" w:hAnsi="Arial" w:cs="Arial"/>
        </w:rPr>
        <w:t>télécharger sur le site du Département de Loire-Atlantique.</w:t>
      </w:r>
      <w:r w:rsidR="003622B6">
        <w:rPr>
          <w:rFonts w:ascii="Arial" w:hAnsi="Arial" w:cs="Arial"/>
        </w:rPr>
        <w:t xml:space="preserve"> </w:t>
      </w:r>
    </w:p>
    <w:p w:rsidR="003622B6" w:rsidRDefault="00EC21CF">
      <w:pPr>
        <w:spacing w:before="120" w:after="120" w:line="240" w:lineRule="auto"/>
        <w:jc w:val="both"/>
        <w:rPr>
          <w:rFonts w:ascii="Arial" w:hAnsi="Arial" w:cs="Arial"/>
        </w:rPr>
      </w:pPr>
      <w:hyperlink r:id="rId9" w:history="1">
        <w:r w:rsidR="003622B6" w:rsidRPr="00770E0F">
          <w:rPr>
            <w:rStyle w:val="Lienhypertexte"/>
            <w:rFonts w:ascii="Arial" w:hAnsi="Arial" w:cs="Arial"/>
          </w:rPr>
          <w:t>Severine.guillou@loire-atlantique.fr</w:t>
        </w:r>
      </w:hyperlink>
      <w:r w:rsidR="003622B6">
        <w:rPr>
          <w:rFonts w:ascii="Arial" w:hAnsi="Arial" w:cs="Arial"/>
        </w:rPr>
        <w:t xml:space="preserve"> – 02 40 99 12 75</w:t>
      </w:r>
    </w:p>
    <w:p w:rsidR="00940313" w:rsidRPr="00D8674C" w:rsidRDefault="008003BE" w:rsidP="00C6776B">
      <w:pPr>
        <w:pStyle w:val="Titre1"/>
        <w:rPr>
          <w:rFonts w:ascii="Arial" w:hAnsi="Arial" w:cs="Arial"/>
          <w:b/>
          <w:bCs/>
          <w:color w:val="auto"/>
          <w:sz w:val="22"/>
          <w:szCs w:val="22"/>
        </w:rPr>
      </w:pPr>
      <w:bookmarkStart w:id="5" w:name="_Toc17884654"/>
      <w:r w:rsidRPr="00D8674C">
        <w:rPr>
          <w:rFonts w:ascii="Arial" w:hAnsi="Arial" w:cs="Arial"/>
          <w:b/>
          <w:bCs/>
          <w:color w:val="auto"/>
          <w:sz w:val="22"/>
          <w:szCs w:val="22"/>
        </w:rPr>
        <w:t xml:space="preserve">Article </w:t>
      </w:r>
      <w:bookmarkEnd w:id="5"/>
      <w:r w:rsidR="00C6776B" w:rsidRPr="00D8674C">
        <w:rPr>
          <w:rFonts w:ascii="Arial" w:hAnsi="Arial" w:cs="Arial"/>
          <w:b/>
          <w:bCs/>
          <w:color w:val="auto"/>
          <w:sz w:val="22"/>
          <w:szCs w:val="22"/>
        </w:rPr>
        <w:t xml:space="preserve">6 - </w:t>
      </w:r>
      <w:r w:rsidRPr="00D8674C">
        <w:rPr>
          <w:rFonts w:ascii="Arial" w:hAnsi="Arial" w:cs="Arial"/>
          <w:b/>
          <w:bCs/>
          <w:color w:val="auto"/>
          <w:sz w:val="22"/>
          <w:szCs w:val="22"/>
        </w:rPr>
        <w:t>Transmission des candidatures</w:t>
      </w:r>
    </w:p>
    <w:p w:rsidR="00940313" w:rsidRDefault="008003BE">
      <w:pPr>
        <w:spacing w:before="120" w:after="120" w:line="240" w:lineRule="auto"/>
        <w:rPr>
          <w:rFonts w:ascii="Arial" w:hAnsi="Arial" w:cs="Arial"/>
        </w:rPr>
      </w:pPr>
      <w:r>
        <w:rPr>
          <w:rFonts w:ascii="Arial" w:hAnsi="Arial" w:cs="Arial"/>
        </w:rPr>
        <w:t>La demande est rédigée en français et à envoyer en indiquant le titre de l’objet de l’avis de publicité concerné.</w:t>
      </w:r>
    </w:p>
    <w:p w:rsidR="00940313" w:rsidRPr="00C6776B" w:rsidRDefault="008003BE" w:rsidP="00C6776B">
      <w:pPr>
        <w:spacing w:before="120" w:after="120" w:line="240" w:lineRule="auto"/>
        <w:rPr>
          <w:rFonts w:ascii="Arial" w:hAnsi="Arial" w:cs="Arial"/>
        </w:rPr>
      </w:pPr>
      <w:r>
        <w:rPr>
          <w:rFonts w:ascii="Arial" w:hAnsi="Arial" w:cs="Arial"/>
        </w:rPr>
        <w:t>Les propositions sont remises</w:t>
      </w:r>
      <w:r w:rsidR="00C6776B">
        <w:rPr>
          <w:rFonts w:ascii="Arial" w:hAnsi="Arial" w:cs="Arial"/>
        </w:rPr>
        <w:t xml:space="preserve"> prioritairement </w:t>
      </w:r>
      <w:r w:rsidR="00C6776B" w:rsidRPr="00C6776B">
        <w:rPr>
          <w:rFonts w:ascii="Arial" w:hAnsi="Arial" w:cs="Arial"/>
        </w:rPr>
        <w:t>par courrier électronique</w:t>
      </w:r>
      <w:r w:rsidR="00C6776B">
        <w:rPr>
          <w:rFonts w:ascii="Arial" w:hAnsi="Arial" w:cs="Arial"/>
        </w:rPr>
        <w:t xml:space="preserve">. Elles peuvent être transmises par courrier </w:t>
      </w:r>
      <w:r w:rsidRPr="00C6776B">
        <w:rPr>
          <w:rFonts w:ascii="Arial" w:hAnsi="Arial" w:cs="Arial"/>
        </w:rPr>
        <w:t>recommandé (à l’adresse de l’article 1)</w:t>
      </w:r>
      <w:r w:rsidR="00C6776B">
        <w:rPr>
          <w:rFonts w:ascii="Arial" w:hAnsi="Arial" w:cs="Arial"/>
        </w:rPr>
        <w:t>.</w:t>
      </w:r>
    </w:p>
    <w:p w:rsidR="00940313" w:rsidRDefault="008003BE">
      <w:pPr>
        <w:spacing w:before="120" w:after="120" w:line="240" w:lineRule="auto"/>
        <w:rPr>
          <w:rFonts w:ascii="Arial" w:hAnsi="Arial" w:cs="Arial"/>
        </w:rPr>
      </w:pPr>
      <w:r>
        <w:rPr>
          <w:rFonts w:ascii="Arial" w:hAnsi="Arial" w:cs="Arial"/>
        </w:rPr>
        <w:t>Tout dossier incomplet ou reçu hors délai sera rejeté.</w:t>
      </w:r>
    </w:p>
    <w:p w:rsidR="00940313" w:rsidRPr="00D8674C" w:rsidRDefault="008003BE" w:rsidP="00C6776B">
      <w:pPr>
        <w:pStyle w:val="Titre1"/>
        <w:rPr>
          <w:rFonts w:ascii="Arial" w:hAnsi="Arial" w:cs="Arial"/>
          <w:b/>
          <w:bCs/>
          <w:color w:val="auto"/>
          <w:sz w:val="22"/>
          <w:szCs w:val="22"/>
        </w:rPr>
      </w:pPr>
      <w:bookmarkStart w:id="6" w:name="_Toc17884655"/>
      <w:bookmarkStart w:id="7" w:name="_Hlk536085418"/>
      <w:r w:rsidRPr="00D8674C">
        <w:rPr>
          <w:rFonts w:ascii="Arial" w:hAnsi="Arial" w:cs="Arial"/>
          <w:b/>
          <w:bCs/>
          <w:color w:val="auto"/>
          <w:sz w:val="22"/>
          <w:szCs w:val="22"/>
        </w:rPr>
        <w:t xml:space="preserve">Article </w:t>
      </w:r>
      <w:bookmarkEnd w:id="6"/>
      <w:r w:rsidR="00C6776B" w:rsidRPr="00D8674C">
        <w:rPr>
          <w:rFonts w:ascii="Arial" w:hAnsi="Arial" w:cs="Arial"/>
          <w:b/>
          <w:bCs/>
          <w:color w:val="auto"/>
          <w:sz w:val="22"/>
          <w:szCs w:val="22"/>
        </w:rPr>
        <w:t xml:space="preserve">7 - </w:t>
      </w:r>
      <w:r w:rsidRPr="00D8674C">
        <w:rPr>
          <w:rFonts w:ascii="Arial" w:hAnsi="Arial" w:cs="Arial"/>
          <w:b/>
          <w:bCs/>
          <w:color w:val="auto"/>
          <w:sz w:val="22"/>
          <w:szCs w:val="22"/>
        </w:rPr>
        <w:t>Liste des pièces obligatoires à fournir</w:t>
      </w:r>
    </w:p>
    <w:p w:rsidR="00940313" w:rsidRDefault="008003BE">
      <w:pPr>
        <w:spacing w:after="0" w:line="240" w:lineRule="auto"/>
        <w:rPr>
          <w:rFonts w:ascii="Arial" w:hAnsi="Arial" w:cs="Arial"/>
        </w:rPr>
      </w:pPr>
      <w:r>
        <w:rPr>
          <w:rFonts w:ascii="Arial" w:hAnsi="Arial" w:cs="Arial"/>
        </w:rPr>
        <w:t>Le dossier devra obligatoirement comporter les éléments ci-dessous :</w:t>
      </w:r>
    </w:p>
    <w:p w:rsidR="00940313" w:rsidRDefault="008003BE">
      <w:pPr>
        <w:pStyle w:val="Paragraphedeliste"/>
        <w:numPr>
          <w:ilvl w:val="0"/>
          <w:numId w:val="38"/>
        </w:numPr>
        <w:spacing w:after="0" w:line="240" w:lineRule="auto"/>
        <w:rPr>
          <w:rFonts w:ascii="Arial" w:hAnsi="Arial" w:cs="Arial"/>
        </w:rPr>
      </w:pPr>
      <w:r>
        <w:rPr>
          <w:rFonts w:ascii="Arial" w:hAnsi="Arial" w:cs="Arial"/>
        </w:rPr>
        <w:t>Nom du demandeur</w:t>
      </w:r>
    </w:p>
    <w:p w:rsidR="00940313" w:rsidRDefault="008003BE">
      <w:pPr>
        <w:pStyle w:val="Paragraphedeliste"/>
        <w:numPr>
          <w:ilvl w:val="0"/>
          <w:numId w:val="38"/>
        </w:numPr>
        <w:spacing w:after="0" w:line="240" w:lineRule="auto"/>
        <w:rPr>
          <w:rFonts w:ascii="Arial" w:hAnsi="Arial" w:cs="Arial"/>
        </w:rPr>
      </w:pPr>
      <w:r>
        <w:rPr>
          <w:rFonts w:ascii="Arial" w:hAnsi="Arial" w:cs="Arial"/>
        </w:rPr>
        <w:t>Adresse postale du demandeur</w:t>
      </w:r>
    </w:p>
    <w:p w:rsidR="00940313" w:rsidRDefault="008003BE">
      <w:pPr>
        <w:pStyle w:val="Paragraphedeliste"/>
        <w:numPr>
          <w:ilvl w:val="0"/>
          <w:numId w:val="38"/>
        </w:numPr>
        <w:spacing w:after="0" w:line="240" w:lineRule="auto"/>
        <w:rPr>
          <w:rFonts w:ascii="Arial" w:hAnsi="Arial" w:cs="Arial"/>
        </w:rPr>
      </w:pPr>
      <w:r>
        <w:rPr>
          <w:rFonts w:ascii="Arial" w:hAnsi="Arial" w:cs="Arial"/>
        </w:rPr>
        <w:t>Coordonnées téléphoniques et mails</w:t>
      </w:r>
    </w:p>
    <w:p w:rsidR="00940313" w:rsidRDefault="008003BE">
      <w:pPr>
        <w:pStyle w:val="Paragraphedeliste"/>
        <w:numPr>
          <w:ilvl w:val="0"/>
          <w:numId w:val="38"/>
        </w:numPr>
        <w:spacing w:after="0" w:line="240" w:lineRule="auto"/>
        <w:rPr>
          <w:rFonts w:ascii="Arial" w:hAnsi="Arial" w:cs="Arial"/>
        </w:rPr>
      </w:pPr>
      <w:r>
        <w:rPr>
          <w:rFonts w:ascii="Arial" w:hAnsi="Arial" w:cs="Arial"/>
        </w:rPr>
        <w:t>N° de SIRET</w:t>
      </w:r>
    </w:p>
    <w:p w:rsidR="00940313" w:rsidRDefault="00940313">
      <w:pPr>
        <w:pStyle w:val="Paragraphedeliste"/>
        <w:spacing w:after="0" w:line="240" w:lineRule="auto"/>
        <w:rPr>
          <w:rFonts w:ascii="Arial" w:hAnsi="Arial" w:cs="Arial"/>
        </w:rPr>
      </w:pPr>
    </w:p>
    <w:tbl>
      <w:tblPr>
        <w:tblStyle w:val="Grilledutableau"/>
        <w:tblW w:w="0" w:type="auto"/>
        <w:tblLook w:val="04A0" w:firstRow="1" w:lastRow="0" w:firstColumn="1" w:lastColumn="0" w:noHBand="0" w:noVBand="1"/>
      </w:tblPr>
      <w:tblGrid>
        <w:gridCol w:w="1725"/>
        <w:gridCol w:w="2095"/>
        <w:gridCol w:w="1862"/>
        <w:gridCol w:w="3244"/>
      </w:tblGrid>
      <w:tr w:rsidR="00940313">
        <w:tc>
          <w:tcPr>
            <w:tcW w:w="1725" w:type="dxa"/>
          </w:tcPr>
          <w:p w:rsidR="00940313" w:rsidRDefault="00940313">
            <w:pPr>
              <w:rPr>
                <w:rFonts w:ascii="Arial" w:hAnsi="Arial" w:cs="Arial"/>
              </w:rPr>
            </w:pPr>
          </w:p>
        </w:tc>
        <w:tc>
          <w:tcPr>
            <w:tcW w:w="2095" w:type="dxa"/>
          </w:tcPr>
          <w:p w:rsidR="00940313" w:rsidRDefault="008003BE">
            <w:pPr>
              <w:jc w:val="center"/>
              <w:rPr>
                <w:rFonts w:ascii="Arial" w:hAnsi="Arial" w:cs="Arial"/>
                <w:b/>
              </w:rPr>
            </w:pPr>
            <w:r>
              <w:rPr>
                <w:rFonts w:ascii="Arial" w:hAnsi="Arial" w:cs="Arial"/>
                <w:b/>
              </w:rPr>
              <w:t>PARTICULIERS</w:t>
            </w:r>
          </w:p>
        </w:tc>
        <w:tc>
          <w:tcPr>
            <w:tcW w:w="1862" w:type="dxa"/>
          </w:tcPr>
          <w:p w:rsidR="00940313" w:rsidRDefault="008003BE">
            <w:pPr>
              <w:jc w:val="center"/>
              <w:rPr>
                <w:rFonts w:ascii="Arial" w:hAnsi="Arial" w:cs="Arial"/>
                <w:b/>
              </w:rPr>
            </w:pPr>
            <w:r>
              <w:rPr>
                <w:rFonts w:ascii="Arial" w:hAnsi="Arial" w:cs="Arial"/>
                <w:b/>
              </w:rPr>
              <w:t>PERSONES MORALES DE DROIT PRIVÉ</w:t>
            </w:r>
          </w:p>
        </w:tc>
        <w:tc>
          <w:tcPr>
            <w:tcW w:w="3244" w:type="dxa"/>
          </w:tcPr>
          <w:p w:rsidR="00940313" w:rsidRDefault="008003BE">
            <w:pPr>
              <w:jc w:val="center"/>
              <w:rPr>
                <w:rFonts w:ascii="Arial" w:hAnsi="Arial" w:cs="Arial"/>
                <w:b/>
              </w:rPr>
            </w:pPr>
            <w:r>
              <w:rPr>
                <w:rFonts w:ascii="Arial" w:hAnsi="Arial" w:cs="Arial"/>
                <w:b/>
              </w:rPr>
              <w:t>PERSONNES MORALES DE DROIT PUBLIC</w:t>
            </w:r>
          </w:p>
        </w:tc>
      </w:tr>
      <w:tr w:rsidR="00940313">
        <w:tc>
          <w:tcPr>
            <w:tcW w:w="1725" w:type="dxa"/>
          </w:tcPr>
          <w:p w:rsidR="00940313" w:rsidRDefault="008003BE">
            <w:pPr>
              <w:rPr>
                <w:rFonts w:ascii="Arial" w:hAnsi="Arial" w:cs="Arial"/>
              </w:rPr>
            </w:pPr>
            <w:r>
              <w:rPr>
                <w:rFonts w:ascii="Arial" w:hAnsi="Arial" w:cs="Arial"/>
              </w:rPr>
              <w:t xml:space="preserve">Pour tout type de projet </w:t>
            </w:r>
          </w:p>
        </w:tc>
        <w:tc>
          <w:tcPr>
            <w:tcW w:w="2095" w:type="dxa"/>
          </w:tcPr>
          <w:p w:rsidR="00940313" w:rsidRDefault="008003BE">
            <w:pPr>
              <w:rPr>
                <w:rFonts w:ascii="Arial" w:hAnsi="Arial" w:cs="Arial"/>
              </w:rPr>
            </w:pPr>
            <w:r>
              <w:rPr>
                <w:rFonts w:ascii="Arial" w:hAnsi="Arial" w:cs="Arial"/>
              </w:rPr>
              <w:t>Justificatif d’identité</w:t>
            </w:r>
          </w:p>
          <w:p w:rsidR="00940313" w:rsidRDefault="008003BE">
            <w:pPr>
              <w:rPr>
                <w:rFonts w:ascii="Arial" w:hAnsi="Arial" w:cs="Arial"/>
              </w:rPr>
            </w:pPr>
            <w:r>
              <w:rPr>
                <w:rFonts w:ascii="Arial" w:hAnsi="Arial" w:cs="Arial"/>
              </w:rPr>
              <w:t>Assurance</w:t>
            </w:r>
          </w:p>
        </w:tc>
        <w:tc>
          <w:tcPr>
            <w:tcW w:w="1862" w:type="dxa"/>
          </w:tcPr>
          <w:p w:rsidR="00940313" w:rsidRDefault="008003BE">
            <w:pPr>
              <w:rPr>
                <w:rFonts w:ascii="Arial" w:hAnsi="Arial" w:cs="Arial"/>
              </w:rPr>
            </w:pPr>
            <w:r>
              <w:rPr>
                <w:rFonts w:ascii="Arial" w:hAnsi="Arial" w:cs="Arial"/>
              </w:rPr>
              <w:t>Justificatif d’identité du gérant</w:t>
            </w:r>
          </w:p>
          <w:p w:rsidR="00940313" w:rsidRDefault="008003BE">
            <w:pPr>
              <w:rPr>
                <w:rFonts w:ascii="Arial" w:hAnsi="Arial" w:cs="Arial"/>
              </w:rPr>
            </w:pPr>
            <w:r>
              <w:rPr>
                <w:rFonts w:ascii="Arial" w:hAnsi="Arial" w:cs="Arial"/>
              </w:rPr>
              <w:t>Extrait K BIS datant de moins de 6 mois</w:t>
            </w:r>
          </w:p>
          <w:p w:rsidR="00940313" w:rsidRDefault="00940313">
            <w:pPr>
              <w:rPr>
                <w:rFonts w:ascii="Arial" w:hAnsi="Arial" w:cs="Arial"/>
              </w:rPr>
            </w:pPr>
          </w:p>
        </w:tc>
        <w:tc>
          <w:tcPr>
            <w:tcW w:w="3244" w:type="dxa"/>
          </w:tcPr>
          <w:p w:rsidR="00940313" w:rsidRDefault="008003BE">
            <w:pPr>
              <w:rPr>
                <w:rFonts w:ascii="Arial" w:hAnsi="Arial" w:cs="Arial"/>
              </w:rPr>
            </w:pPr>
            <w:r>
              <w:rPr>
                <w:rFonts w:ascii="Arial" w:hAnsi="Arial" w:cs="Arial"/>
              </w:rPr>
              <w:t>Justificatif d’identité du gérant</w:t>
            </w:r>
          </w:p>
          <w:p w:rsidR="00940313" w:rsidRDefault="008003BE">
            <w:pPr>
              <w:rPr>
                <w:rFonts w:ascii="Arial" w:hAnsi="Arial" w:cs="Arial"/>
              </w:rPr>
            </w:pPr>
            <w:r>
              <w:rPr>
                <w:rFonts w:ascii="Arial" w:hAnsi="Arial" w:cs="Arial"/>
              </w:rPr>
              <w:t>Extrait K BIS datant de moins de 6 mois</w:t>
            </w:r>
          </w:p>
          <w:p w:rsidR="00940313" w:rsidRDefault="00940313">
            <w:pPr>
              <w:rPr>
                <w:rFonts w:ascii="Arial" w:hAnsi="Arial" w:cs="Arial"/>
              </w:rPr>
            </w:pPr>
          </w:p>
        </w:tc>
      </w:tr>
      <w:tr w:rsidR="00940313">
        <w:tc>
          <w:tcPr>
            <w:tcW w:w="1725" w:type="dxa"/>
          </w:tcPr>
          <w:p w:rsidR="00940313" w:rsidRDefault="008003BE">
            <w:pPr>
              <w:rPr>
                <w:rFonts w:ascii="Arial" w:hAnsi="Arial" w:cs="Arial"/>
              </w:rPr>
            </w:pPr>
            <w:r>
              <w:rPr>
                <w:rFonts w:ascii="Arial" w:hAnsi="Arial" w:cs="Arial"/>
              </w:rPr>
              <w:t xml:space="preserve">Pour les projets exercés à bord ‘un établissement flottant ou bateau </w:t>
            </w:r>
          </w:p>
        </w:tc>
        <w:tc>
          <w:tcPr>
            <w:tcW w:w="7201" w:type="dxa"/>
            <w:gridSpan w:val="3"/>
          </w:tcPr>
          <w:p w:rsidR="00940313" w:rsidRDefault="008003BE">
            <w:pPr>
              <w:rPr>
                <w:rFonts w:ascii="Arial" w:hAnsi="Arial" w:cs="Arial"/>
              </w:rPr>
            </w:pPr>
            <w:r>
              <w:rPr>
                <w:rFonts w:ascii="Arial" w:hAnsi="Arial" w:cs="Arial"/>
              </w:rPr>
              <w:t>Justificatif d’identité du propriétaire</w:t>
            </w:r>
          </w:p>
          <w:p w:rsidR="00940313" w:rsidRDefault="008003BE">
            <w:pPr>
              <w:rPr>
                <w:rFonts w:ascii="Arial" w:hAnsi="Arial" w:cs="Arial"/>
              </w:rPr>
            </w:pPr>
            <w:r>
              <w:rPr>
                <w:rFonts w:ascii="Arial" w:hAnsi="Arial" w:cs="Arial"/>
              </w:rPr>
              <w:t>Justificatif d’identité de la personne qui utilisera le bateau si différent du propriétaire</w:t>
            </w:r>
          </w:p>
          <w:p w:rsidR="00940313" w:rsidRDefault="008003BE">
            <w:pPr>
              <w:rPr>
                <w:rFonts w:ascii="Arial" w:hAnsi="Arial" w:cs="Arial"/>
              </w:rPr>
            </w:pPr>
            <w:r>
              <w:rPr>
                <w:rFonts w:ascii="Arial" w:hAnsi="Arial" w:cs="Arial"/>
              </w:rPr>
              <w:t>Copie du certificat d’immatriculation du navire</w:t>
            </w:r>
          </w:p>
          <w:p w:rsidR="00940313" w:rsidRDefault="008003BE">
            <w:pPr>
              <w:rPr>
                <w:rFonts w:ascii="Arial" w:hAnsi="Arial" w:cs="Arial"/>
              </w:rPr>
            </w:pPr>
            <w:r>
              <w:rPr>
                <w:rFonts w:ascii="Arial" w:hAnsi="Arial" w:cs="Arial"/>
              </w:rPr>
              <w:t>Phot en couleur du bateau datant de moins d’un an</w:t>
            </w:r>
          </w:p>
          <w:p w:rsidR="00940313" w:rsidRDefault="008003BE">
            <w:pPr>
              <w:rPr>
                <w:rFonts w:ascii="Arial" w:hAnsi="Arial" w:cs="Arial"/>
              </w:rPr>
            </w:pPr>
            <w:r>
              <w:rPr>
                <w:rFonts w:ascii="Arial" w:hAnsi="Arial" w:cs="Arial"/>
              </w:rPr>
              <w:t xml:space="preserve">Copie du certificat d’assurance du bateau de moins d’un an </w:t>
            </w:r>
            <w:r>
              <w:rPr>
                <w:rFonts w:ascii="Arial" w:hAnsi="Arial" w:cs="Arial"/>
                <w:i/>
              </w:rPr>
              <w:t>(avec au minima la responsabilité civile du propriétaire du bateau et de la personne qui l’utilisera si différente du propriétaire, les frais de retirement du bateau)</w:t>
            </w:r>
          </w:p>
        </w:tc>
      </w:tr>
    </w:tbl>
    <w:p w:rsidR="00940313" w:rsidRPr="00D8674C" w:rsidRDefault="008003BE" w:rsidP="0015651F">
      <w:pPr>
        <w:pStyle w:val="Titre1"/>
        <w:rPr>
          <w:rFonts w:ascii="Arial" w:hAnsi="Arial" w:cs="Arial"/>
          <w:b/>
          <w:bCs/>
          <w:color w:val="auto"/>
          <w:sz w:val="22"/>
          <w:szCs w:val="22"/>
        </w:rPr>
      </w:pPr>
      <w:bookmarkStart w:id="8" w:name="_Toc17884657"/>
      <w:bookmarkEnd w:id="7"/>
      <w:r w:rsidRPr="00D8674C">
        <w:rPr>
          <w:rFonts w:ascii="Arial" w:hAnsi="Arial" w:cs="Arial"/>
          <w:b/>
          <w:bCs/>
          <w:color w:val="auto"/>
          <w:sz w:val="22"/>
          <w:szCs w:val="22"/>
        </w:rPr>
        <w:t xml:space="preserve">Article </w:t>
      </w:r>
      <w:bookmarkEnd w:id="8"/>
      <w:r w:rsidR="0015651F" w:rsidRPr="00D8674C">
        <w:rPr>
          <w:rFonts w:ascii="Arial" w:hAnsi="Arial" w:cs="Arial"/>
          <w:b/>
          <w:bCs/>
          <w:color w:val="auto"/>
          <w:sz w:val="22"/>
          <w:szCs w:val="22"/>
        </w:rPr>
        <w:t xml:space="preserve">8 - </w:t>
      </w:r>
      <w:r w:rsidRPr="00D8674C">
        <w:rPr>
          <w:rFonts w:ascii="Arial" w:hAnsi="Arial" w:cs="Arial"/>
          <w:b/>
          <w:bCs/>
          <w:color w:val="auto"/>
          <w:sz w:val="22"/>
          <w:szCs w:val="22"/>
        </w:rPr>
        <w:t>Liste de éléments à fournir pour la complétude du dossier</w:t>
      </w:r>
    </w:p>
    <w:p w:rsidR="00253602" w:rsidRPr="00D8674C" w:rsidRDefault="00D8674C" w:rsidP="00253602">
      <w:pPr>
        <w:rPr>
          <w:rFonts w:ascii="Arial" w:hAnsi="Arial" w:cs="Arial"/>
        </w:rPr>
      </w:pPr>
      <w:r w:rsidRPr="00D8674C">
        <w:rPr>
          <w:rFonts w:ascii="Arial" w:hAnsi="Arial" w:cs="Arial"/>
        </w:rPr>
        <w:t>Le</w:t>
      </w:r>
      <w:r w:rsidR="00C6776B" w:rsidRPr="00D8674C">
        <w:rPr>
          <w:rFonts w:ascii="Arial" w:hAnsi="Arial" w:cs="Arial"/>
        </w:rPr>
        <w:t xml:space="preserve"> d</w:t>
      </w:r>
      <w:r w:rsidR="00253602" w:rsidRPr="00D8674C">
        <w:rPr>
          <w:rFonts w:ascii="Arial" w:hAnsi="Arial" w:cs="Arial"/>
        </w:rPr>
        <w:t>ossier de candidature à remplir</w:t>
      </w:r>
      <w:r w:rsidR="00C6776B" w:rsidRPr="00D8674C">
        <w:rPr>
          <w:rFonts w:ascii="Arial" w:hAnsi="Arial" w:cs="Arial"/>
        </w:rPr>
        <w:t xml:space="preserve"> et à télécharger sur le site du Département de Loire-Atlantique</w:t>
      </w:r>
      <w:r w:rsidR="0015651F" w:rsidRPr="00D8674C">
        <w:rPr>
          <w:rFonts w:ascii="Arial" w:hAnsi="Arial" w:cs="Arial"/>
        </w:rPr>
        <w:t>.</w:t>
      </w:r>
    </w:p>
    <w:p w:rsidR="00D8674C" w:rsidRPr="00D8674C" w:rsidRDefault="00D8674C" w:rsidP="00D8674C">
      <w:pPr>
        <w:jc w:val="both"/>
        <w:rPr>
          <w:rFonts w:ascii="Arial" w:hAnsi="Arial" w:cs="Arial"/>
        </w:rPr>
      </w:pPr>
      <w:r w:rsidRPr="00D8674C">
        <w:rPr>
          <w:rFonts w:ascii="Arial" w:hAnsi="Arial" w:cs="Arial"/>
        </w:rPr>
        <w:t xml:space="preserve">Si le projet est exercé à bord ‘un bateau ou d’un établissement flottant, les éléments ci-dessous, seront également à transmettre </w:t>
      </w:r>
    </w:p>
    <w:p w:rsidR="00D8674C" w:rsidRPr="00D8674C" w:rsidRDefault="00D8674C" w:rsidP="00D8674C">
      <w:pPr>
        <w:pStyle w:val="Paragraphedeliste"/>
        <w:numPr>
          <w:ilvl w:val="0"/>
          <w:numId w:val="39"/>
        </w:numPr>
        <w:rPr>
          <w:rFonts w:ascii="Arial" w:hAnsi="Arial" w:cs="Arial"/>
        </w:rPr>
      </w:pPr>
      <w:r w:rsidRPr="00D8674C">
        <w:rPr>
          <w:rFonts w:ascii="Arial" w:hAnsi="Arial" w:cs="Arial"/>
        </w:rPr>
        <w:t>Nom du bateau</w:t>
      </w:r>
    </w:p>
    <w:p w:rsidR="00D8674C" w:rsidRPr="00D8674C" w:rsidRDefault="00D8674C" w:rsidP="00D8674C">
      <w:pPr>
        <w:pStyle w:val="Paragraphedeliste"/>
        <w:numPr>
          <w:ilvl w:val="0"/>
          <w:numId w:val="39"/>
        </w:numPr>
        <w:rPr>
          <w:rFonts w:ascii="Arial" w:hAnsi="Arial" w:cs="Arial"/>
        </w:rPr>
      </w:pPr>
      <w:r w:rsidRPr="00D8674C">
        <w:rPr>
          <w:rFonts w:ascii="Arial" w:hAnsi="Arial" w:cs="Arial"/>
        </w:rPr>
        <w:t xml:space="preserve">Immatriculation du navire </w:t>
      </w:r>
    </w:p>
    <w:p w:rsidR="00D8674C" w:rsidRPr="00D8674C" w:rsidRDefault="00D8674C" w:rsidP="00D8674C">
      <w:pPr>
        <w:pStyle w:val="Paragraphedeliste"/>
        <w:numPr>
          <w:ilvl w:val="0"/>
          <w:numId w:val="39"/>
        </w:numPr>
        <w:rPr>
          <w:rFonts w:ascii="Arial" w:hAnsi="Arial" w:cs="Arial"/>
        </w:rPr>
      </w:pPr>
      <w:r w:rsidRPr="00D8674C">
        <w:rPr>
          <w:rFonts w:ascii="Arial" w:hAnsi="Arial" w:cs="Arial"/>
        </w:rPr>
        <w:t xml:space="preserve">Longueur, largeur, tirant d’eau et tirant d’air </w:t>
      </w:r>
    </w:p>
    <w:p w:rsidR="00940313" w:rsidRPr="00D8674C" w:rsidRDefault="008003BE" w:rsidP="0015651F">
      <w:pPr>
        <w:pStyle w:val="Titre1"/>
        <w:rPr>
          <w:rFonts w:ascii="Arial" w:hAnsi="Arial" w:cs="Arial"/>
          <w:b/>
          <w:bCs/>
          <w:color w:val="auto"/>
          <w:sz w:val="22"/>
          <w:szCs w:val="22"/>
        </w:rPr>
      </w:pPr>
      <w:bookmarkStart w:id="9" w:name="_Toc17884658"/>
      <w:bookmarkStart w:id="10" w:name="_Hlk536088267"/>
      <w:r w:rsidRPr="00D8674C">
        <w:rPr>
          <w:rFonts w:ascii="Arial" w:hAnsi="Arial" w:cs="Arial"/>
          <w:b/>
          <w:bCs/>
          <w:color w:val="auto"/>
          <w:sz w:val="22"/>
          <w:szCs w:val="22"/>
        </w:rPr>
        <w:t xml:space="preserve">Article </w:t>
      </w:r>
      <w:bookmarkEnd w:id="9"/>
      <w:r w:rsidR="0015651F" w:rsidRPr="00D8674C">
        <w:rPr>
          <w:rFonts w:ascii="Arial" w:hAnsi="Arial" w:cs="Arial"/>
          <w:b/>
          <w:bCs/>
          <w:color w:val="auto"/>
          <w:sz w:val="22"/>
          <w:szCs w:val="22"/>
        </w:rPr>
        <w:t xml:space="preserve">9 - </w:t>
      </w:r>
      <w:r w:rsidRPr="00D8674C">
        <w:rPr>
          <w:rFonts w:ascii="Arial" w:hAnsi="Arial" w:cs="Arial"/>
          <w:b/>
          <w:bCs/>
          <w:color w:val="auto"/>
          <w:sz w:val="22"/>
          <w:szCs w:val="22"/>
        </w:rPr>
        <w:t>Tarifs des redevances</w:t>
      </w:r>
    </w:p>
    <w:bookmarkEnd w:id="10"/>
    <w:p w:rsidR="00940313" w:rsidRDefault="008003BE">
      <w:pPr>
        <w:spacing w:before="120" w:after="120" w:line="240" w:lineRule="auto"/>
        <w:jc w:val="both"/>
        <w:rPr>
          <w:rFonts w:ascii="Arial" w:hAnsi="Arial" w:cs="Arial"/>
        </w:rPr>
      </w:pPr>
      <w:r>
        <w:rPr>
          <w:rFonts w:ascii="Arial" w:hAnsi="Arial" w:cs="Arial"/>
        </w:rPr>
        <w:t xml:space="preserve">Les tarifs sont fixés par une délibération de la commission permanente du Département, applicables aux différents usages du domaine public fluvial départemental. Le montant de la </w:t>
      </w:r>
      <w:r>
        <w:rPr>
          <w:rFonts w:ascii="Arial" w:hAnsi="Arial" w:cs="Arial"/>
        </w:rPr>
        <w:lastRenderedPageBreak/>
        <w:t>redevance d’occupation domaniale annuelle est calculé et revalorisé tous les ans dans les conditions fixées</w:t>
      </w:r>
      <w:r w:rsidR="00253602">
        <w:rPr>
          <w:rFonts w:ascii="Arial" w:hAnsi="Arial" w:cs="Arial"/>
        </w:rPr>
        <w:t xml:space="preserve"> par délibération</w:t>
      </w:r>
      <w:r w:rsidR="00D8674C">
        <w:rPr>
          <w:rFonts w:ascii="Arial" w:hAnsi="Arial" w:cs="Arial"/>
        </w:rPr>
        <w:t>.</w:t>
      </w:r>
    </w:p>
    <w:p w:rsidR="00940313" w:rsidRPr="00D8674C" w:rsidRDefault="008003BE" w:rsidP="0015651F">
      <w:pPr>
        <w:pStyle w:val="Titre1"/>
        <w:rPr>
          <w:rFonts w:ascii="Arial" w:hAnsi="Arial" w:cs="Arial"/>
          <w:b/>
          <w:bCs/>
          <w:color w:val="auto"/>
          <w:sz w:val="22"/>
          <w:szCs w:val="22"/>
        </w:rPr>
      </w:pPr>
      <w:bookmarkStart w:id="11" w:name="_Toc17884659"/>
      <w:r w:rsidRPr="00D8674C">
        <w:rPr>
          <w:rFonts w:ascii="Arial" w:hAnsi="Arial" w:cs="Arial"/>
          <w:b/>
          <w:bCs/>
          <w:color w:val="auto"/>
          <w:sz w:val="22"/>
          <w:szCs w:val="22"/>
        </w:rPr>
        <w:t xml:space="preserve">Article </w:t>
      </w:r>
      <w:bookmarkEnd w:id="11"/>
      <w:r w:rsidR="0015651F" w:rsidRPr="00D8674C">
        <w:rPr>
          <w:rFonts w:ascii="Arial" w:hAnsi="Arial" w:cs="Arial"/>
          <w:b/>
          <w:bCs/>
          <w:color w:val="auto"/>
          <w:sz w:val="22"/>
          <w:szCs w:val="22"/>
        </w:rPr>
        <w:t xml:space="preserve">10 - </w:t>
      </w:r>
      <w:r w:rsidRPr="00D8674C">
        <w:rPr>
          <w:rFonts w:ascii="Arial" w:hAnsi="Arial" w:cs="Arial"/>
          <w:b/>
          <w:bCs/>
          <w:color w:val="auto"/>
          <w:sz w:val="22"/>
          <w:szCs w:val="22"/>
        </w:rPr>
        <w:t>Critère d’analyse et sélection des candidatures</w:t>
      </w:r>
    </w:p>
    <w:tbl>
      <w:tblPr>
        <w:tblStyle w:val="Grilledutableau"/>
        <w:tblW w:w="9303" w:type="dxa"/>
        <w:tblLook w:val="04A0" w:firstRow="1" w:lastRow="0" w:firstColumn="1" w:lastColumn="0" w:noHBand="0" w:noVBand="1"/>
      </w:tblPr>
      <w:tblGrid>
        <w:gridCol w:w="7376"/>
        <w:gridCol w:w="1927"/>
      </w:tblGrid>
      <w:tr w:rsidR="00940313">
        <w:tc>
          <w:tcPr>
            <w:tcW w:w="7376" w:type="dxa"/>
          </w:tcPr>
          <w:p w:rsidR="00940313" w:rsidRDefault="008003BE">
            <w:pPr>
              <w:rPr>
                <w:rFonts w:ascii="Arial" w:hAnsi="Arial" w:cs="Arial"/>
                <w:b/>
              </w:rPr>
            </w:pPr>
            <w:r>
              <w:rPr>
                <w:rFonts w:ascii="Arial" w:hAnsi="Arial" w:cs="Arial"/>
                <w:b/>
              </w:rPr>
              <w:t>IMPACT SUR LE TERRITOIRE</w:t>
            </w:r>
          </w:p>
        </w:tc>
        <w:tc>
          <w:tcPr>
            <w:tcW w:w="1927" w:type="dxa"/>
            <w:vMerge w:val="restart"/>
          </w:tcPr>
          <w:p w:rsidR="00940313" w:rsidRDefault="008003BE">
            <w:pPr>
              <w:jc w:val="center"/>
              <w:rPr>
                <w:rFonts w:ascii="Arial" w:hAnsi="Arial" w:cs="Arial"/>
              </w:rPr>
            </w:pPr>
            <w:r>
              <w:rPr>
                <w:rFonts w:ascii="Arial" w:hAnsi="Arial" w:cs="Arial"/>
              </w:rPr>
              <w:t>25 %</w:t>
            </w:r>
          </w:p>
        </w:tc>
      </w:tr>
      <w:tr w:rsidR="00940313">
        <w:tc>
          <w:tcPr>
            <w:tcW w:w="7376" w:type="dxa"/>
          </w:tcPr>
          <w:p w:rsidR="00940313" w:rsidRDefault="008003BE">
            <w:pPr>
              <w:rPr>
                <w:rFonts w:ascii="Arial" w:hAnsi="Arial" w:cs="Arial"/>
              </w:rPr>
            </w:pPr>
            <w:r>
              <w:rPr>
                <w:rFonts w:ascii="Arial" w:hAnsi="Arial" w:cs="Arial"/>
              </w:rPr>
              <w:t>Émergence du projet</w:t>
            </w:r>
          </w:p>
        </w:tc>
        <w:tc>
          <w:tcPr>
            <w:tcW w:w="1927" w:type="dxa"/>
            <w:vMerge/>
          </w:tcPr>
          <w:p w:rsidR="00940313" w:rsidRDefault="00940313">
            <w:pPr>
              <w:jc w:val="center"/>
              <w:rPr>
                <w:rFonts w:ascii="Arial" w:hAnsi="Arial" w:cs="Arial"/>
              </w:rPr>
            </w:pPr>
          </w:p>
        </w:tc>
      </w:tr>
      <w:tr w:rsidR="00940313">
        <w:tc>
          <w:tcPr>
            <w:tcW w:w="7376" w:type="dxa"/>
          </w:tcPr>
          <w:p w:rsidR="00940313" w:rsidRDefault="008003BE">
            <w:pPr>
              <w:rPr>
                <w:rFonts w:ascii="Arial" w:hAnsi="Arial" w:cs="Arial"/>
              </w:rPr>
            </w:pPr>
            <w:r>
              <w:rPr>
                <w:rFonts w:ascii="Arial" w:hAnsi="Arial" w:cs="Arial"/>
              </w:rPr>
              <w:t>Innovation, originalité</w:t>
            </w:r>
          </w:p>
        </w:tc>
        <w:tc>
          <w:tcPr>
            <w:tcW w:w="1927" w:type="dxa"/>
            <w:vMerge/>
          </w:tcPr>
          <w:p w:rsidR="00940313" w:rsidRDefault="00940313">
            <w:pPr>
              <w:jc w:val="center"/>
              <w:rPr>
                <w:rFonts w:ascii="Arial" w:hAnsi="Arial" w:cs="Arial"/>
              </w:rPr>
            </w:pPr>
          </w:p>
        </w:tc>
      </w:tr>
      <w:tr w:rsidR="00940313">
        <w:tc>
          <w:tcPr>
            <w:tcW w:w="7376" w:type="dxa"/>
          </w:tcPr>
          <w:p w:rsidR="00940313" w:rsidRDefault="008003BE">
            <w:pPr>
              <w:rPr>
                <w:rFonts w:ascii="Arial" w:hAnsi="Arial" w:cs="Arial"/>
              </w:rPr>
            </w:pPr>
            <w:r>
              <w:rPr>
                <w:rFonts w:ascii="Arial" w:hAnsi="Arial" w:cs="Arial"/>
              </w:rPr>
              <w:t>Réponse à un besoin</w:t>
            </w:r>
          </w:p>
        </w:tc>
        <w:tc>
          <w:tcPr>
            <w:tcW w:w="1927" w:type="dxa"/>
            <w:vMerge/>
          </w:tcPr>
          <w:p w:rsidR="00940313" w:rsidRDefault="00940313">
            <w:pPr>
              <w:jc w:val="center"/>
              <w:rPr>
                <w:rFonts w:ascii="Arial" w:hAnsi="Arial" w:cs="Arial"/>
              </w:rPr>
            </w:pPr>
          </w:p>
        </w:tc>
      </w:tr>
      <w:tr w:rsidR="00940313">
        <w:tc>
          <w:tcPr>
            <w:tcW w:w="7376" w:type="dxa"/>
          </w:tcPr>
          <w:p w:rsidR="00940313" w:rsidRDefault="008003BE">
            <w:pPr>
              <w:rPr>
                <w:rFonts w:ascii="Arial" w:hAnsi="Arial" w:cs="Arial"/>
              </w:rPr>
            </w:pPr>
            <w:r>
              <w:rPr>
                <w:rFonts w:ascii="Arial" w:hAnsi="Arial" w:cs="Arial"/>
              </w:rPr>
              <w:t>Complémentarité avec d’autres activités à proximité</w:t>
            </w:r>
          </w:p>
        </w:tc>
        <w:tc>
          <w:tcPr>
            <w:tcW w:w="1927" w:type="dxa"/>
            <w:vMerge/>
          </w:tcPr>
          <w:p w:rsidR="00940313" w:rsidRDefault="00940313">
            <w:pPr>
              <w:jc w:val="center"/>
              <w:rPr>
                <w:rFonts w:ascii="Arial" w:hAnsi="Arial" w:cs="Arial"/>
              </w:rPr>
            </w:pPr>
          </w:p>
        </w:tc>
      </w:tr>
      <w:tr w:rsidR="00940313">
        <w:tc>
          <w:tcPr>
            <w:tcW w:w="7376" w:type="dxa"/>
          </w:tcPr>
          <w:p w:rsidR="00940313" w:rsidRDefault="008003BE">
            <w:pPr>
              <w:rPr>
                <w:rFonts w:ascii="Arial" w:hAnsi="Arial" w:cs="Arial"/>
              </w:rPr>
            </w:pPr>
            <w:r>
              <w:rPr>
                <w:rFonts w:ascii="Arial" w:hAnsi="Arial" w:cs="Arial"/>
              </w:rPr>
              <w:t>Valorisation des ressources locales</w:t>
            </w:r>
          </w:p>
        </w:tc>
        <w:tc>
          <w:tcPr>
            <w:tcW w:w="1927" w:type="dxa"/>
            <w:vMerge/>
          </w:tcPr>
          <w:p w:rsidR="00940313" w:rsidRDefault="00940313">
            <w:pPr>
              <w:jc w:val="center"/>
              <w:rPr>
                <w:rFonts w:ascii="Arial" w:hAnsi="Arial" w:cs="Arial"/>
              </w:rPr>
            </w:pPr>
          </w:p>
        </w:tc>
      </w:tr>
      <w:tr w:rsidR="00940313">
        <w:tc>
          <w:tcPr>
            <w:tcW w:w="7376" w:type="dxa"/>
          </w:tcPr>
          <w:p w:rsidR="00940313" w:rsidRDefault="008003BE">
            <w:pPr>
              <w:rPr>
                <w:rFonts w:ascii="Arial" w:hAnsi="Arial" w:cs="Arial"/>
              </w:rPr>
            </w:pPr>
            <w:r>
              <w:rPr>
                <w:rFonts w:ascii="Arial" w:hAnsi="Arial" w:cs="Arial"/>
              </w:rPr>
              <w:t>Adapté au territoire</w:t>
            </w:r>
          </w:p>
        </w:tc>
        <w:tc>
          <w:tcPr>
            <w:tcW w:w="1927" w:type="dxa"/>
            <w:vMerge/>
          </w:tcPr>
          <w:p w:rsidR="00940313" w:rsidRDefault="00940313">
            <w:pPr>
              <w:jc w:val="center"/>
              <w:rPr>
                <w:rFonts w:ascii="Arial" w:hAnsi="Arial" w:cs="Arial"/>
              </w:rPr>
            </w:pPr>
          </w:p>
        </w:tc>
      </w:tr>
      <w:tr w:rsidR="00940313">
        <w:tc>
          <w:tcPr>
            <w:tcW w:w="7376" w:type="dxa"/>
          </w:tcPr>
          <w:p w:rsidR="00940313" w:rsidRDefault="008003BE">
            <w:pPr>
              <w:rPr>
                <w:rFonts w:ascii="Arial" w:hAnsi="Arial" w:cs="Arial"/>
                <w:b/>
              </w:rPr>
            </w:pPr>
            <w:r>
              <w:rPr>
                <w:rFonts w:ascii="Arial" w:hAnsi="Arial" w:cs="Arial"/>
                <w:b/>
              </w:rPr>
              <w:t>ÉQULIBRE FINANCIER</w:t>
            </w:r>
          </w:p>
        </w:tc>
        <w:tc>
          <w:tcPr>
            <w:tcW w:w="1927" w:type="dxa"/>
            <w:vMerge w:val="restart"/>
          </w:tcPr>
          <w:p w:rsidR="00940313" w:rsidRDefault="008003BE">
            <w:pPr>
              <w:jc w:val="center"/>
              <w:rPr>
                <w:rFonts w:ascii="Arial" w:hAnsi="Arial" w:cs="Arial"/>
              </w:rPr>
            </w:pPr>
            <w:r>
              <w:rPr>
                <w:rFonts w:ascii="Arial" w:hAnsi="Arial" w:cs="Arial"/>
              </w:rPr>
              <w:t>20 %</w:t>
            </w:r>
          </w:p>
        </w:tc>
      </w:tr>
      <w:tr w:rsidR="00940313">
        <w:tc>
          <w:tcPr>
            <w:tcW w:w="7376" w:type="dxa"/>
          </w:tcPr>
          <w:p w:rsidR="00940313" w:rsidRDefault="008003BE">
            <w:pPr>
              <w:rPr>
                <w:rFonts w:ascii="Arial" w:hAnsi="Arial" w:cs="Arial"/>
              </w:rPr>
            </w:pPr>
            <w:r>
              <w:rPr>
                <w:rFonts w:ascii="Arial" w:hAnsi="Arial" w:cs="Arial"/>
              </w:rPr>
              <w:t>Réalisation d’une étude de marché</w:t>
            </w:r>
          </w:p>
        </w:tc>
        <w:tc>
          <w:tcPr>
            <w:tcW w:w="1927" w:type="dxa"/>
            <w:vMerge/>
          </w:tcPr>
          <w:p w:rsidR="00940313" w:rsidRDefault="00940313">
            <w:pPr>
              <w:jc w:val="center"/>
              <w:rPr>
                <w:rFonts w:ascii="Arial" w:hAnsi="Arial" w:cs="Arial"/>
              </w:rPr>
            </w:pPr>
          </w:p>
        </w:tc>
      </w:tr>
      <w:tr w:rsidR="00940313">
        <w:tc>
          <w:tcPr>
            <w:tcW w:w="7376" w:type="dxa"/>
          </w:tcPr>
          <w:p w:rsidR="00940313" w:rsidRDefault="008003BE">
            <w:pPr>
              <w:rPr>
                <w:rFonts w:ascii="Arial" w:hAnsi="Arial" w:cs="Arial"/>
              </w:rPr>
            </w:pPr>
            <w:r>
              <w:rPr>
                <w:rFonts w:ascii="Arial" w:hAnsi="Arial" w:cs="Arial"/>
              </w:rPr>
              <w:t>Viabilité du budget prévisionnel</w:t>
            </w:r>
          </w:p>
        </w:tc>
        <w:tc>
          <w:tcPr>
            <w:tcW w:w="1927" w:type="dxa"/>
            <w:vMerge/>
          </w:tcPr>
          <w:p w:rsidR="00940313" w:rsidRDefault="00940313">
            <w:pPr>
              <w:jc w:val="center"/>
              <w:rPr>
                <w:rFonts w:ascii="Arial" w:hAnsi="Arial" w:cs="Arial"/>
              </w:rPr>
            </w:pPr>
          </w:p>
        </w:tc>
      </w:tr>
      <w:tr w:rsidR="00940313">
        <w:tc>
          <w:tcPr>
            <w:tcW w:w="7376" w:type="dxa"/>
          </w:tcPr>
          <w:p w:rsidR="00940313" w:rsidRDefault="008003BE">
            <w:pPr>
              <w:rPr>
                <w:rFonts w:ascii="Arial" w:hAnsi="Arial" w:cs="Arial"/>
              </w:rPr>
            </w:pPr>
            <w:r>
              <w:rPr>
                <w:rFonts w:ascii="Arial" w:hAnsi="Arial" w:cs="Arial"/>
              </w:rPr>
              <w:t>Demande de fonds extérieurs</w:t>
            </w:r>
          </w:p>
        </w:tc>
        <w:tc>
          <w:tcPr>
            <w:tcW w:w="1927" w:type="dxa"/>
            <w:vMerge/>
          </w:tcPr>
          <w:p w:rsidR="00940313" w:rsidRDefault="00940313">
            <w:pPr>
              <w:jc w:val="center"/>
              <w:rPr>
                <w:rFonts w:ascii="Arial" w:hAnsi="Arial" w:cs="Arial"/>
              </w:rPr>
            </w:pPr>
          </w:p>
        </w:tc>
      </w:tr>
      <w:tr w:rsidR="00940313">
        <w:tc>
          <w:tcPr>
            <w:tcW w:w="7376" w:type="dxa"/>
          </w:tcPr>
          <w:p w:rsidR="00940313" w:rsidRDefault="008003BE">
            <w:pPr>
              <w:rPr>
                <w:rFonts w:ascii="Arial" w:hAnsi="Arial" w:cs="Arial"/>
              </w:rPr>
            </w:pPr>
            <w:r>
              <w:rPr>
                <w:rFonts w:ascii="Arial" w:hAnsi="Arial" w:cs="Arial"/>
              </w:rPr>
              <w:t>Viabilité du plan de financement</w:t>
            </w:r>
          </w:p>
        </w:tc>
        <w:tc>
          <w:tcPr>
            <w:tcW w:w="1927" w:type="dxa"/>
            <w:vMerge/>
          </w:tcPr>
          <w:p w:rsidR="00940313" w:rsidRDefault="00940313">
            <w:pPr>
              <w:jc w:val="center"/>
              <w:rPr>
                <w:rFonts w:ascii="Arial" w:hAnsi="Arial" w:cs="Arial"/>
              </w:rPr>
            </w:pPr>
          </w:p>
        </w:tc>
      </w:tr>
      <w:tr w:rsidR="00940313">
        <w:tc>
          <w:tcPr>
            <w:tcW w:w="7376" w:type="dxa"/>
          </w:tcPr>
          <w:p w:rsidR="00940313" w:rsidRDefault="008003BE">
            <w:pPr>
              <w:rPr>
                <w:rFonts w:ascii="Arial" w:hAnsi="Arial" w:cs="Arial"/>
              </w:rPr>
            </w:pPr>
            <w:r>
              <w:rPr>
                <w:rFonts w:ascii="Arial" w:hAnsi="Arial" w:cs="Arial"/>
              </w:rPr>
              <w:t>Investissements</w:t>
            </w:r>
          </w:p>
        </w:tc>
        <w:tc>
          <w:tcPr>
            <w:tcW w:w="1927" w:type="dxa"/>
            <w:vMerge/>
          </w:tcPr>
          <w:p w:rsidR="00940313" w:rsidRDefault="00940313">
            <w:pPr>
              <w:jc w:val="center"/>
              <w:rPr>
                <w:rFonts w:ascii="Arial" w:hAnsi="Arial" w:cs="Arial"/>
              </w:rPr>
            </w:pPr>
          </w:p>
        </w:tc>
      </w:tr>
      <w:tr w:rsidR="00940313">
        <w:tc>
          <w:tcPr>
            <w:tcW w:w="7376" w:type="dxa"/>
          </w:tcPr>
          <w:p w:rsidR="00940313" w:rsidRDefault="008003BE">
            <w:pPr>
              <w:rPr>
                <w:rFonts w:ascii="Arial" w:hAnsi="Arial" w:cs="Arial"/>
                <w:b/>
              </w:rPr>
            </w:pPr>
            <w:r>
              <w:rPr>
                <w:rFonts w:ascii="Arial" w:hAnsi="Arial" w:cs="Arial"/>
                <w:b/>
              </w:rPr>
              <w:t>ÉLÉMENTS TECHNIQUES ET RÈGLEMENTAIRES</w:t>
            </w:r>
          </w:p>
        </w:tc>
        <w:tc>
          <w:tcPr>
            <w:tcW w:w="1927" w:type="dxa"/>
            <w:vMerge w:val="restart"/>
          </w:tcPr>
          <w:p w:rsidR="00940313" w:rsidRDefault="008003BE">
            <w:pPr>
              <w:jc w:val="center"/>
              <w:rPr>
                <w:rFonts w:ascii="Arial" w:hAnsi="Arial" w:cs="Arial"/>
              </w:rPr>
            </w:pPr>
            <w:r>
              <w:rPr>
                <w:rFonts w:ascii="Arial" w:hAnsi="Arial" w:cs="Arial"/>
              </w:rPr>
              <w:t>20 %</w:t>
            </w:r>
          </w:p>
        </w:tc>
      </w:tr>
      <w:tr w:rsidR="00940313">
        <w:tc>
          <w:tcPr>
            <w:tcW w:w="7376" w:type="dxa"/>
          </w:tcPr>
          <w:p w:rsidR="00940313" w:rsidRDefault="008003BE">
            <w:pPr>
              <w:rPr>
                <w:rFonts w:ascii="Arial" w:hAnsi="Arial" w:cs="Arial"/>
              </w:rPr>
            </w:pPr>
            <w:r>
              <w:rPr>
                <w:rFonts w:ascii="Arial" w:hAnsi="Arial" w:cs="Arial"/>
              </w:rPr>
              <w:t>Besoins en matériels, aménagement PMR</w:t>
            </w:r>
          </w:p>
        </w:tc>
        <w:tc>
          <w:tcPr>
            <w:tcW w:w="1927" w:type="dxa"/>
            <w:vMerge/>
          </w:tcPr>
          <w:p w:rsidR="00940313" w:rsidRDefault="00940313">
            <w:pPr>
              <w:jc w:val="center"/>
              <w:rPr>
                <w:rFonts w:ascii="Arial" w:hAnsi="Arial" w:cs="Arial"/>
              </w:rPr>
            </w:pPr>
          </w:p>
        </w:tc>
      </w:tr>
      <w:tr w:rsidR="00940313">
        <w:tc>
          <w:tcPr>
            <w:tcW w:w="7376" w:type="dxa"/>
          </w:tcPr>
          <w:p w:rsidR="00940313" w:rsidRDefault="008003BE">
            <w:pPr>
              <w:rPr>
                <w:rFonts w:ascii="Arial" w:hAnsi="Arial" w:cs="Arial"/>
              </w:rPr>
            </w:pPr>
            <w:r>
              <w:rPr>
                <w:rFonts w:ascii="Arial" w:hAnsi="Arial" w:cs="Arial"/>
              </w:rPr>
              <w:t>Détail des éléments techniques (contraintes, cohérence, description…)</w:t>
            </w:r>
          </w:p>
        </w:tc>
        <w:tc>
          <w:tcPr>
            <w:tcW w:w="1927" w:type="dxa"/>
            <w:vMerge/>
          </w:tcPr>
          <w:p w:rsidR="00940313" w:rsidRDefault="00940313">
            <w:pPr>
              <w:jc w:val="center"/>
              <w:rPr>
                <w:rFonts w:ascii="Arial" w:hAnsi="Arial" w:cs="Arial"/>
              </w:rPr>
            </w:pPr>
          </w:p>
        </w:tc>
      </w:tr>
      <w:tr w:rsidR="00940313">
        <w:tc>
          <w:tcPr>
            <w:tcW w:w="7376" w:type="dxa"/>
          </w:tcPr>
          <w:p w:rsidR="00940313" w:rsidRDefault="008003BE">
            <w:pPr>
              <w:rPr>
                <w:rFonts w:ascii="Arial" w:hAnsi="Arial" w:cs="Arial"/>
              </w:rPr>
            </w:pPr>
            <w:r>
              <w:rPr>
                <w:rFonts w:ascii="Arial" w:hAnsi="Arial" w:cs="Arial"/>
              </w:rPr>
              <w:t>Prise en compte de la règlementation</w:t>
            </w:r>
          </w:p>
        </w:tc>
        <w:tc>
          <w:tcPr>
            <w:tcW w:w="1927" w:type="dxa"/>
            <w:vMerge/>
          </w:tcPr>
          <w:p w:rsidR="00940313" w:rsidRDefault="00940313">
            <w:pPr>
              <w:jc w:val="center"/>
              <w:rPr>
                <w:rFonts w:ascii="Arial" w:hAnsi="Arial" w:cs="Arial"/>
              </w:rPr>
            </w:pPr>
          </w:p>
        </w:tc>
      </w:tr>
      <w:tr w:rsidR="00940313">
        <w:tc>
          <w:tcPr>
            <w:tcW w:w="7376" w:type="dxa"/>
          </w:tcPr>
          <w:p w:rsidR="00940313" w:rsidRDefault="008003BE">
            <w:pPr>
              <w:rPr>
                <w:rFonts w:ascii="Arial" w:hAnsi="Arial" w:cs="Arial"/>
              </w:rPr>
            </w:pPr>
            <w:r>
              <w:rPr>
                <w:rFonts w:ascii="Arial" w:hAnsi="Arial" w:cs="Arial"/>
              </w:rPr>
              <w:t>Prise en compte de la sécurité</w:t>
            </w:r>
          </w:p>
        </w:tc>
        <w:tc>
          <w:tcPr>
            <w:tcW w:w="1927" w:type="dxa"/>
            <w:vMerge/>
          </w:tcPr>
          <w:p w:rsidR="00940313" w:rsidRDefault="00940313">
            <w:pPr>
              <w:jc w:val="center"/>
              <w:rPr>
                <w:rFonts w:ascii="Arial" w:hAnsi="Arial" w:cs="Arial"/>
              </w:rPr>
            </w:pPr>
          </w:p>
        </w:tc>
      </w:tr>
      <w:tr w:rsidR="00940313">
        <w:tc>
          <w:tcPr>
            <w:tcW w:w="7376" w:type="dxa"/>
          </w:tcPr>
          <w:p w:rsidR="00940313" w:rsidRDefault="008003BE">
            <w:pPr>
              <w:rPr>
                <w:rFonts w:ascii="Arial" w:hAnsi="Arial" w:cs="Arial"/>
                <w:b/>
              </w:rPr>
            </w:pPr>
            <w:r>
              <w:rPr>
                <w:rFonts w:ascii="Arial" w:hAnsi="Arial" w:cs="Arial"/>
                <w:b/>
              </w:rPr>
              <w:t>PUBLIC</w:t>
            </w:r>
          </w:p>
        </w:tc>
        <w:tc>
          <w:tcPr>
            <w:tcW w:w="1927" w:type="dxa"/>
            <w:vMerge w:val="restart"/>
          </w:tcPr>
          <w:p w:rsidR="00940313" w:rsidRDefault="008003BE">
            <w:pPr>
              <w:jc w:val="center"/>
              <w:rPr>
                <w:rFonts w:ascii="Arial" w:hAnsi="Arial" w:cs="Arial"/>
              </w:rPr>
            </w:pPr>
            <w:r>
              <w:rPr>
                <w:rFonts w:ascii="Arial" w:hAnsi="Arial" w:cs="Arial"/>
              </w:rPr>
              <w:t>10 %</w:t>
            </w:r>
          </w:p>
        </w:tc>
      </w:tr>
      <w:tr w:rsidR="00940313">
        <w:tc>
          <w:tcPr>
            <w:tcW w:w="7376" w:type="dxa"/>
          </w:tcPr>
          <w:p w:rsidR="00940313" w:rsidRDefault="008003BE">
            <w:pPr>
              <w:rPr>
                <w:rFonts w:ascii="Arial" w:hAnsi="Arial" w:cs="Arial"/>
              </w:rPr>
            </w:pPr>
            <w:r>
              <w:rPr>
                <w:rFonts w:ascii="Arial" w:hAnsi="Arial" w:cs="Arial"/>
              </w:rPr>
              <w:t>Public ciblé</w:t>
            </w:r>
          </w:p>
        </w:tc>
        <w:tc>
          <w:tcPr>
            <w:tcW w:w="1927" w:type="dxa"/>
            <w:vMerge/>
          </w:tcPr>
          <w:p w:rsidR="00940313" w:rsidRDefault="00940313">
            <w:pPr>
              <w:jc w:val="center"/>
              <w:rPr>
                <w:rFonts w:ascii="Arial" w:hAnsi="Arial" w:cs="Arial"/>
              </w:rPr>
            </w:pPr>
          </w:p>
        </w:tc>
      </w:tr>
      <w:tr w:rsidR="00940313">
        <w:tc>
          <w:tcPr>
            <w:tcW w:w="7376" w:type="dxa"/>
          </w:tcPr>
          <w:p w:rsidR="00940313" w:rsidRDefault="008003BE">
            <w:pPr>
              <w:rPr>
                <w:rFonts w:ascii="Arial" w:hAnsi="Arial" w:cs="Arial"/>
              </w:rPr>
            </w:pPr>
            <w:r>
              <w:rPr>
                <w:rFonts w:ascii="Arial" w:hAnsi="Arial" w:cs="Arial"/>
              </w:rPr>
              <w:t>Offres destinées aux publics et publics prioritaires</w:t>
            </w:r>
          </w:p>
        </w:tc>
        <w:tc>
          <w:tcPr>
            <w:tcW w:w="1927" w:type="dxa"/>
            <w:vMerge/>
          </w:tcPr>
          <w:p w:rsidR="00940313" w:rsidRDefault="00940313">
            <w:pPr>
              <w:jc w:val="center"/>
              <w:rPr>
                <w:rFonts w:ascii="Arial" w:hAnsi="Arial" w:cs="Arial"/>
              </w:rPr>
            </w:pPr>
          </w:p>
        </w:tc>
      </w:tr>
      <w:tr w:rsidR="00940313">
        <w:tc>
          <w:tcPr>
            <w:tcW w:w="7376" w:type="dxa"/>
          </w:tcPr>
          <w:p w:rsidR="00940313" w:rsidRDefault="008003BE">
            <w:pPr>
              <w:rPr>
                <w:rFonts w:ascii="Arial" w:hAnsi="Arial" w:cs="Arial"/>
                <w:b/>
              </w:rPr>
            </w:pPr>
            <w:r>
              <w:rPr>
                <w:rFonts w:ascii="Arial" w:hAnsi="Arial" w:cs="Arial"/>
                <w:b/>
              </w:rPr>
              <w:t>POLITIQUES PUBLIQUES</w:t>
            </w:r>
          </w:p>
        </w:tc>
        <w:tc>
          <w:tcPr>
            <w:tcW w:w="1927" w:type="dxa"/>
            <w:vMerge w:val="restart"/>
          </w:tcPr>
          <w:p w:rsidR="00940313" w:rsidRDefault="008003BE">
            <w:pPr>
              <w:jc w:val="center"/>
              <w:rPr>
                <w:rFonts w:ascii="Arial" w:hAnsi="Arial" w:cs="Arial"/>
              </w:rPr>
            </w:pPr>
            <w:r>
              <w:rPr>
                <w:rFonts w:ascii="Arial" w:hAnsi="Arial" w:cs="Arial"/>
              </w:rPr>
              <w:t>10 %</w:t>
            </w:r>
          </w:p>
        </w:tc>
      </w:tr>
      <w:tr w:rsidR="00940313">
        <w:tc>
          <w:tcPr>
            <w:tcW w:w="7376" w:type="dxa"/>
          </w:tcPr>
          <w:p w:rsidR="00940313" w:rsidRDefault="008003BE">
            <w:pPr>
              <w:rPr>
                <w:rFonts w:ascii="Arial" w:hAnsi="Arial" w:cs="Arial"/>
              </w:rPr>
            </w:pPr>
            <w:r>
              <w:rPr>
                <w:rFonts w:ascii="Arial" w:hAnsi="Arial" w:cs="Arial"/>
              </w:rPr>
              <w:t xml:space="preserve">Cohérence avec la politique départementale pour la valorisation de ses voies d’eau </w:t>
            </w:r>
          </w:p>
        </w:tc>
        <w:tc>
          <w:tcPr>
            <w:tcW w:w="1927" w:type="dxa"/>
            <w:vMerge/>
          </w:tcPr>
          <w:p w:rsidR="00940313" w:rsidRDefault="00940313">
            <w:pPr>
              <w:jc w:val="center"/>
              <w:rPr>
                <w:rFonts w:ascii="Arial" w:hAnsi="Arial" w:cs="Arial"/>
              </w:rPr>
            </w:pPr>
          </w:p>
        </w:tc>
      </w:tr>
      <w:tr w:rsidR="00940313">
        <w:tc>
          <w:tcPr>
            <w:tcW w:w="7376" w:type="dxa"/>
          </w:tcPr>
          <w:p w:rsidR="00940313" w:rsidRDefault="008003BE">
            <w:pPr>
              <w:rPr>
                <w:rFonts w:ascii="Arial" w:hAnsi="Arial" w:cs="Arial"/>
                <w:b/>
              </w:rPr>
            </w:pPr>
            <w:r>
              <w:rPr>
                <w:rFonts w:ascii="Arial" w:hAnsi="Arial" w:cs="Arial"/>
                <w:b/>
              </w:rPr>
              <w:t>ENVIRONNEMENT</w:t>
            </w:r>
          </w:p>
        </w:tc>
        <w:tc>
          <w:tcPr>
            <w:tcW w:w="1927" w:type="dxa"/>
            <w:vMerge w:val="restart"/>
          </w:tcPr>
          <w:p w:rsidR="00940313" w:rsidRDefault="008003BE">
            <w:pPr>
              <w:jc w:val="center"/>
              <w:rPr>
                <w:rFonts w:ascii="Arial" w:hAnsi="Arial" w:cs="Arial"/>
              </w:rPr>
            </w:pPr>
            <w:r>
              <w:rPr>
                <w:rFonts w:ascii="Arial" w:hAnsi="Arial" w:cs="Arial"/>
              </w:rPr>
              <w:t>5 %</w:t>
            </w:r>
          </w:p>
        </w:tc>
      </w:tr>
      <w:tr w:rsidR="00940313">
        <w:tc>
          <w:tcPr>
            <w:tcW w:w="7376" w:type="dxa"/>
          </w:tcPr>
          <w:p w:rsidR="00940313" w:rsidRDefault="008003BE">
            <w:pPr>
              <w:rPr>
                <w:rFonts w:ascii="Arial" w:hAnsi="Arial" w:cs="Arial"/>
              </w:rPr>
            </w:pPr>
            <w:r>
              <w:rPr>
                <w:rFonts w:ascii="Arial" w:hAnsi="Arial" w:cs="Arial"/>
              </w:rPr>
              <w:t>Éléments de développement durable (gestion des déchets, eaux usées…)</w:t>
            </w:r>
          </w:p>
        </w:tc>
        <w:tc>
          <w:tcPr>
            <w:tcW w:w="1927" w:type="dxa"/>
            <w:vMerge/>
          </w:tcPr>
          <w:p w:rsidR="00940313" w:rsidRDefault="00940313">
            <w:pPr>
              <w:jc w:val="center"/>
              <w:rPr>
                <w:rFonts w:ascii="Arial" w:hAnsi="Arial" w:cs="Arial"/>
              </w:rPr>
            </w:pPr>
          </w:p>
        </w:tc>
      </w:tr>
      <w:tr w:rsidR="00940313">
        <w:tc>
          <w:tcPr>
            <w:tcW w:w="7376" w:type="dxa"/>
          </w:tcPr>
          <w:p w:rsidR="00940313" w:rsidRDefault="008003BE">
            <w:pPr>
              <w:rPr>
                <w:rFonts w:ascii="Arial" w:hAnsi="Arial" w:cs="Arial"/>
              </w:rPr>
            </w:pPr>
            <w:r>
              <w:rPr>
                <w:rFonts w:ascii="Arial" w:hAnsi="Arial" w:cs="Arial"/>
              </w:rPr>
              <w:t xml:space="preserve">Démarche qualité </w:t>
            </w:r>
          </w:p>
        </w:tc>
        <w:tc>
          <w:tcPr>
            <w:tcW w:w="1927" w:type="dxa"/>
            <w:vMerge/>
          </w:tcPr>
          <w:p w:rsidR="00940313" w:rsidRDefault="00940313">
            <w:pPr>
              <w:jc w:val="center"/>
              <w:rPr>
                <w:rFonts w:ascii="Arial" w:hAnsi="Arial" w:cs="Arial"/>
              </w:rPr>
            </w:pPr>
          </w:p>
        </w:tc>
      </w:tr>
      <w:tr w:rsidR="00940313">
        <w:tc>
          <w:tcPr>
            <w:tcW w:w="7376" w:type="dxa"/>
          </w:tcPr>
          <w:p w:rsidR="00940313" w:rsidRDefault="008003BE">
            <w:pPr>
              <w:rPr>
                <w:rFonts w:ascii="Arial" w:hAnsi="Arial" w:cs="Arial"/>
                <w:b/>
              </w:rPr>
            </w:pPr>
            <w:r>
              <w:rPr>
                <w:rFonts w:ascii="Arial" w:hAnsi="Arial" w:cs="Arial"/>
                <w:b/>
              </w:rPr>
              <w:t>COMMUNICATION</w:t>
            </w:r>
          </w:p>
        </w:tc>
        <w:tc>
          <w:tcPr>
            <w:tcW w:w="1927" w:type="dxa"/>
            <w:vMerge w:val="restart"/>
          </w:tcPr>
          <w:p w:rsidR="00940313" w:rsidRDefault="008003BE">
            <w:pPr>
              <w:jc w:val="center"/>
              <w:rPr>
                <w:rFonts w:ascii="Arial" w:hAnsi="Arial" w:cs="Arial"/>
              </w:rPr>
            </w:pPr>
            <w:r>
              <w:rPr>
                <w:rFonts w:ascii="Arial" w:hAnsi="Arial" w:cs="Arial"/>
              </w:rPr>
              <w:t>5 %</w:t>
            </w:r>
          </w:p>
        </w:tc>
      </w:tr>
      <w:tr w:rsidR="00940313">
        <w:tc>
          <w:tcPr>
            <w:tcW w:w="7376" w:type="dxa"/>
          </w:tcPr>
          <w:p w:rsidR="00940313" w:rsidRDefault="008003BE">
            <w:pPr>
              <w:rPr>
                <w:rFonts w:ascii="Arial" w:hAnsi="Arial" w:cs="Arial"/>
              </w:rPr>
            </w:pPr>
            <w:r>
              <w:rPr>
                <w:rFonts w:ascii="Arial" w:hAnsi="Arial" w:cs="Arial"/>
              </w:rPr>
              <w:t>Stratégie commerciale pour développer l’offre</w:t>
            </w:r>
          </w:p>
        </w:tc>
        <w:tc>
          <w:tcPr>
            <w:tcW w:w="1927" w:type="dxa"/>
            <w:vMerge/>
          </w:tcPr>
          <w:p w:rsidR="00940313" w:rsidRDefault="00940313">
            <w:pPr>
              <w:jc w:val="center"/>
              <w:rPr>
                <w:rFonts w:ascii="Arial" w:hAnsi="Arial" w:cs="Arial"/>
              </w:rPr>
            </w:pPr>
          </w:p>
        </w:tc>
      </w:tr>
      <w:tr w:rsidR="00940313">
        <w:tc>
          <w:tcPr>
            <w:tcW w:w="7376" w:type="dxa"/>
          </w:tcPr>
          <w:p w:rsidR="00940313" w:rsidRDefault="008003BE">
            <w:pPr>
              <w:rPr>
                <w:rFonts w:ascii="Arial" w:hAnsi="Arial" w:cs="Arial"/>
              </w:rPr>
            </w:pPr>
            <w:r>
              <w:rPr>
                <w:rFonts w:ascii="Arial" w:hAnsi="Arial" w:cs="Arial"/>
              </w:rPr>
              <w:t>Supports de communication</w:t>
            </w:r>
          </w:p>
        </w:tc>
        <w:tc>
          <w:tcPr>
            <w:tcW w:w="1927" w:type="dxa"/>
            <w:vMerge/>
          </w:tcPr>
          <w:p w:rsidR="00940313" w:rsidRDefault="00940313">
            <w:pPr>
              <w:jc w:val="center"/>
              <w:rPr>
                <w:rFonts w:ascii="Arial" w:hAnsi="Arial" w:cs="Arial"/>
              </w:rPr>
            </w:pPr>
          </w:p>
        </w:tc>
      </w:tr>
      <w:tr w:rsidR="00940313">
        <w:tc>
          <w:tcPr>
            <w:tcW w:w="7376" w:type="dxa"/>
          </w:tcPr>
          <w:p w:rsidR="00940313" w:rsidRDefault="008003BE">
            <w:pPr>
              <w:rPr>
                <w:rFonts w:ascii="Arial" w:hAnsi="Arial" w:cs="Arial"/>
                <w:b/>
              </w:rPr>
            </w:pPr>
            <w:r>
              <w:rPr>
                <w:rFonts w:ascii="Arial" w:hAnsi="Arial" w:cs="Arial"/>
                <w:b/>
              </w:rPr>
              <w:t>CONTEXTE</w:t>
            </w:r>
          </w:p>
        </w:tc>
        <w:tc>
          <w:tcPr>
            <w:tcW w:w="1927" w:type="dxa"/>
            <w:vMerge w:val="restart"/>
          </w:tcPr>
          <w:p w:rsidR="00940313" w:rsidRDefault="008003BE">
            <w:pPr>
              <w:jc w:val="center"/>
              <w:rPr>
                <w:rFonts w:ascii="Arial" w:hAnsi="Arial" w:cs="Arial"/>
              </w:rPr>
            </w:pPr>
            <w:r>
              <w:rPr>
                <w:rFonts w:ascii="Arial" w:hAnsi="Arial" w:cs="Arial"/>
              </w:rPr>
              <w:t>5 %</w:t>
            </w:r>
          </w:p>
        </w:tc>
      </w:tr>
      <w:tr w:rsidR="00940313">
        <w:tc>
          <w:tcPr>
            <w:tcW w:w="7376" w:type="dxa"/>
          </w:tcPr>
          <w:p w:rsidR="00940313" w:rsidRDefault="008003BE">
            <w:pPr>
              <w:rPr>
                <w:rFonts w:ascii="Arial" w:hAnsi="Arial" w:cs="Arial"/>
              </w:rPr>
            </w:pPr>
            <w:r>
              <w:rPr>
                <w:rFonts w:ascii="Arial" w:hAnsi="Arial" w:cs="Arial"/>
              </w:rPr>
              <w:t>Historique de la création de la structure, présentation de l’équipe</w:t>
            </w:r>
          </w:p>
        </w:tc>
        <w:tc>
          <w:tcPr>
            <w:tcW w:w="1927" w:type="dxa"/>
            <w:vMerge/>
          </w:tcPr>
          <w:p w:rsidR="00940313" w:rsidRDefault="00940313">
            <w:pPr>
              <w:rPr>
                <w:rFonts w:ascii="Arial" w:hAnsi="Arial" w:cs="Arial"/>
              </w:rPr>
            </w:pPr>
          </w:p>
        </w:tc>
      </w:tr>
    </w:tbl>
    <w:p w:rsidR="0015651F" w:rsidRDefault="0015651F">
      <w:pPr>
        <w:jc w:val="both"/>
        <w:rPr>
          <w:rFonts w:ascii="Arial" w:hAnsi="Arial" w:cs="Arial"/>
        </w:rPr>
      </w:pPr>
      <w:r>
        <w:rPr>
          <w:rFonts w:ascii="Arial" w:hAnsi="Arial" w:cs="Arial"/>
        </w:rPr>
        <w:t>Les trois premiers critères feront l’objet d’une attention particulière. Un critère seul ne saurait valid</w:t>
      </w:r>
      <w:r w:rsidR="00D8674C">
        <w:rPr>
          <w:rFonts w:ascii="Arial" w:hAnsi="Arial" w:cs="Arial"/>
        </w:rPr>
        <w:t>er</w:t>
      </w:r>
      <w:r>
        <w:rPr>
          <w:rFonts w:ascii="Arial" w:hAnsi="Arial" w:cs="Arial"/>
        </w:rPr>
        <w:t xml:space="preserve"> la décision finale. </w:t>
      </w:r>
    </w:p>
    <w:p w:rsidR="00940313" w:rsidRDefault="008003BE">
      <w:pPr>
        <w:jc w:val="both"/>
        <w:rPr>
          <w:rFonts w:ascii="Arial" w:hAnsi="Arial" w:cs="Arial"/>
        </w:rPr>
      </w:pPr>
      <w:r>
        <w:rPr>
          <w:rFonts w:ascii="Arial" w:hAnsi="Arial" w:cs="Arial"/>
        </w:rPr>
        <w:t>Le Département désigne le candidat retenu pour le projet et emplacement et pour lequel sera réalisé un arrêté d’autorisation d’occupation temporaire du domaine public fluvial. Les candidats dont le projet n’es</w:t>
      </w:r>
      <w:r w:rsidR="00253602">
        <w:rPr>
          <w:rFonts w:ascii="Arial" w:hAnsi="Arial" w:cs="Arial"/>
        </w:rPr>
        <w:t>t</w:t>
      </w:r>
      <w:r>
        <w:rPr>
          <w:rFonts w:ascii="Arial" w:hAnsi="Arial" w:cs="Arial"/>
        </w:rPr>
        <w:t xml:space="preserve"> pas retenu se verront informés</w:t>
      </w:r>
      <w:r w:rsidR="00253602">
        <w:rPr>
          <w:rFonts w:ascii="Arial" w:hAnsi="Arial" w:cs="Arial"/>
        </w:rPr>
        <w:t xml:space="preserve"> par courrier.</w:t>
      </w:r>
    </w:p>
    <w:p w:rsidR="00940313" w:rsidRPr="00D8674C" w:rsidRDefault="008003BE" w:rsidP="0015651F">
      <w:pPr>
        <w:pStyle w:val="Titre1"/>
        <w:rPr>
          <w:rFonts w:ascii="Arial" w:hAnsi="Arial" w:cs="Arial"/>
          <w:b/>
          <w:bCs/>
          <w:color w:val="auto"/>
          <w:sz w:val="22"/>
          <w:szCs w:val="22"/>
        </w:rPr>
      </w:pPr>
      <w:bookmarkStart w:id="12" w:name="_Toc17884661"/>
      <w:r w:rsidRPr="00D8674C">
        <w:rPr>
          <w:rFonts w:ascii="Arial" w:hAnsi="Arial" w:cs="Arial"/>
          <w:b/>
          <w:bCs/>
          <w:color w:val="auto"/>
          <w:sz w:val="22"/>
          <w:szCs w:val="22"/>
        </w:rPr>
        <w:t>Article 1</w:t>
      </w:r>
      <w:bookmarkEnd w:id="12"/>
      <w:r w:rsidR="0015651F" w:rsidRPr="00D8674C">
        <w:rPr>
          <w:rFonts w:ascii="Arial" w:hAnsi="Arial" w:cs="Arial"/>
          <w:b/>
          <w:bCs/>
          <w:color w:val="auto"/>
          <w:sz w:val="22"/>
          <w:szCs w:val="22"/>
        </w:rPr>
        <w:t xml:space="preserve">1 - </w:t>
      </w:r>
      <w:r w:rsidRPr="00D8674C">
        <w:rPr>
          <w:rFonts w:ascii="Arial" w:hAnsi="Arial" w:cs="Arial"/>
          <w:b/>
          <w:bCs/>
          <w:color w:val="auto"/>
          <w:sz w:val="22"/>
          <w:szCs w:val="22"/>
        </w:rPr>
        <w:t>Recours</w:t>
      </w:r>
    </w:p>
    <w:p w:rsidR="00940313" w:rsidRDefault="008003BE">
      <w:pPr>
        <w:rPr>
          <w:rFonts w:ascii="Arial" w:hAnsi="Arial" w:cs="Arial"/>
        </w:rPr>
      </w:pPr>
      <w:r>
        <w:rPr>
          <w:rFonts w:ascii="Arial" w:hAnsi="Arial" w:cs="Arial"/>
        </w:rPr>
        <w:t xml:space="preserve">Les décisions peuvent faire l’objet d’un recours administratif gracieux auprès de M. Le Président du Département de Loire-Atlantique ou d’un recours contentieux devant le tribunal administratif de Rennes, dans un délai de deux mois à compter de la notification. </w:t>
      </w:r>
    </w:p>
    <w:p w:rsidR="00940313" w:rsidRDefault="00940313"/>
    <w:p w:rsidR="00940313" w:rsidRDefault="008003BE">
      <w:pPr>
        <w:pStyle w:val="Sous-titre"/>
        <w:spacing w:after="120" w:line="240" w:lineRule="auto"/>
        <w:jc w:val="both"/>
        <w:rPr>
          <w:rFonts w:ascii="Arial" w:hAnsi="Arial" w:cs="Arial"/>
          <w:color w:val="auto"/>
        </w:rPr>
      </w:pPr>
      <w:r>
        <w:rPr>
          <w:rFonts w:ascii="Arial" w:hAnsi="Arial" w:cs="Arial"/>
          <w:color w:val="auto"/>
        </w:rPr>
        <w:t xml:space="preserve"> </w:t>
      </w:r>
    </w:p>
    <w:sectPr w:rsidR="0094031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313" w:rsidRDefault="008003BE">
      <w:pPr>
        <w:spacing w:after="0" w:line="240" w:lineRule="auto"/>
      </w:pPr>
      <w:r>
        <w:separator/>
      </w:r>
    </w:p>
  </w:endnote>
  <w:endnote w:type="continuationSeparator" w:id="0">
    <w:p w:rsidR="00940313" w:rsidRDefault="00800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313" w:rsidRDefault="0094031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313" w:rsidRDefault="008003BE">
    <w:pPr>
      <w:pStyle w:val="Pieddepage"/>
      <w:jc w:val="center"/>
      <w:rPr>
        <w:caps/>
      </w:rPr>
    </w:pPr>
    <w:r>
      <w:rPr>
        <w:caps/>
      </w:rPr>
      <w:fldChar w:fldCharType="begin"/>
    </w:r>
    <w:r>
      <w:rPr>
        <w:caps/>
      </w:rPr>
      <w:instrText>PAGE   \* MERGEFORMAT</w:instrText>
    </w:r>
    <w:r>
      <w:rPr>
        <w:caps/>
      </w:rPr>
      <w:fldChar w:fldCharType="separate"/>
    </w:r>
    <w:r>
      <w:rPr>
        <w:caps/>
      </w:rPr>
      <w:t>2</w:t>
    </w:r>
    <w:r>
      <w:rPr>
        <w:caps/>
      </w:rPr>
      <w:fldChar w:fldCharType="end"/>
    </w:r>
  </w:p>
  <w:p w:rsidR="00940313" w:rsidRDefault="0094031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313" w:rsidRDefault="009403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313" w:rsidRDefault="008003BE">
      <w:pPr>
        <w:spacing w:after="0" w:line="240" w:lineRule="auto"/>
      </w:pPr>
      <w:r>
        <w:separator/>
      </w:r>
    </w:p>
  </w:footnote>
  <w:footnote w:type="continuationSeparator" w:id="0">
    <w:p w:rsidR="00940313" w:rsidRDefault="00800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313" w:rsidRDefault="0094031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313" w:rsidRDefault="0094031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313" w:rsidRDefault="0094031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4A2"/>
    <w:multiLevelType w:val="hybridMultilevel"/>
    <w:tmpl w:val="9D4E3EC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F905E0"/>
    <w:multiLevelType w:val="hybridMultilevel"/>
    <w:tmpl w:val="24AC280C"/>
    <w:lvl w:ilvl="0" w:tplc="63844C00">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1C15F4"/>
    <w:multiLevelType w:val="hybridMultilevel"/>
    <w:tmpl w:val="B1AEEB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162233"/>
    <w:multiLevelType w:val="hybridMultilevel"/>
    <w:tmpl w:val="719044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1C089E"/>
    <w:multiLevelType w:val="hybridMultilevel"/>
    <w:tmpl w:val="7D606C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935197"/>
    <w:multiLevelType w:val="hybridMultilevel"/>
    <w:tmpl w:val="9F10B974"/>
    <w:lvl w:ilvl="0" w:tplc="FBD26AD4">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FB15A3"/>
    <w:multiLevelType w:val="hybridMultilevel"/>
    <w:tmpl w:val="9E0A90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0D3DAF"/>
    <w:multiLevelType w:val="hybridMultilevel"/>
    <w:tmpl w:val="3F68F576"/>
    <w:lvl w:ilvl="0" w:tplc="A4C83838">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2A54E5"/>
    <w:multiLevelType w:val="hybridMultilevel"/>
    <w:tmpl w:val="25A81A6C"/>
    <w:lvl w:ilvl="0" w:tplc="A4C83838">
      <w:numFmt w:val="bullet"/>
      <w:lvlText w:val="-"/>
      <w:lvlJc w:val="left"/>
      <w:pPr>
        <w:ind w:left="720" w:hanging="360"/>
      </w:pPr>
      <w:rPr>
        <w:rFonts w:ascii="Calibri" w:eastAsia="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351198"/>
    <w:multiLevelType w:val="hybridMultilevel"/>
    <w:tmpl w:val="663EE4E2"/>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17FF56F6"/>
    <w:multiLevelType w:val="hybridMultilevel"/>
    <w:tmpl w:val="D026C7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105A3F"/>
    <w:multiLevelType w:val="hybridMultilevel"/>
    <w:tmpl w:val="E124C9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7F61B8"/>
    <w:multiLevelType w:val="hybridMultilevel"/>
    <w:tmpl w:val="272298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1642261"/>
    <w:multiLevelType w:val="hybridMultilevel"/>
    <w:tmpl w:val="43346F88"/>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EE37F2"/>
    <w:multiLevelType w:val="hybridMultilevel"/>
    <w:tmpl w:val="224AE546"/>
    <w:lvl w:ilvl="0" w:tplc="DA1C21C6">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6861EAC"/>
    <w:multiLevelType w:val="hybridMultilevel"/>
    <w:tmpl w:val="A57068EA"/>
    <w:lvl w:ilvl="0" w:tplc="43FA4A88">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6C09E5"/>
    <w:multiLevelType w:val="hybridMultilevel"/>
    <w:tmpl w:val="7780F8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C421CD"/>
    <w:multiLevelType w:val="hybridMultilevel"/>
    <w:tmpl w:val="F6CEDFE8"/>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D060575"/>
    <w:multiLevelType w:val="hybridMultilevel"/>
    <w:tmpl w:val="33604C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00A1E02"/>
    <w:multiLevelType w:val="hybridMultilevel"/>
    <w:tmpl w:val="D6A03D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1C64892"/>
    <w:multiLevelType w:val="hybridMultilevel"/>
    <w:tmpl w:val="9FF61E72"/>
    <w:lvl w:ilvl="0" w:tplc="A4C83838">
      <w:numFmt w:val="bullet"/>
      <w:lvlText w:val="-"/>
      <w:lvlJc w:val="left"/>
      <w:pPr>
        <w:ind w:left="720" w:hanging="360"/>
      </w:pPr>
      <w:rPr>
        <w:rFonts w:ascii="Calibri" w:eastAsia="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9C73A08"/>
    <w:multiLevelType w:val="hybridMultilevel"/>
    <w:tmpl w:val="06D67C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D8E3D27"/>
    <w:multiLevelType w:val="hybridMultilevel"/>
    <w:tmpl w:val="982E955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EFF77A8"/>
    <w:multiLevelType w:val="hybridMultilevel"/>
    <w:tmpl w:val="686A3588"/>
    <w:lvl w:ilvl="0" w:tplc="A4C83838">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08B4FFB"/>
    <w:multiLevelType w:val="hybridMultilevel"/>
    <w:tmpl w:val="47D8BF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437532"/>
    <w:multiLevelType w:val="hybridMultilevel"/>
    <w:tmpl w:val="992E1E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599203B"/>
    <w:multiLevelType w:val="hybridMultilevel"/>
    <w:tmpl w:val="7D92B0B6"/>
    <w:lvl w:ilvl="0" w:tplc="A4C83838">
      <w:numFmt w:val="bullet"/>
      <w:lvlText w:val="-"/>
      <w:lvlJc w:val="left"/>
      <w:pPr>
        <w:ind w:left="720" w:hanging="360"/>
      </w:pPr>
      <w:rPr>
        <w:rFonts w:ascii="Calibri" w:eastAsia="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6C20E06"/>
    <w:multiLevelType w:val="hybridMultilevel"/>
    <w:tmpl w:val="4E36C6EC"/>
    <w:lvl w:ilvl="0" w:tplc="A4C83838">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5C922120"/>
    <w:multiLevelType w:val="hybridMultilevel"/>
    <w:tmpl w:val="27CAEBDE"/>
    <w:lvl w:ilvl="0" w:tplc="BF721288">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CBC611E"/>
    <w:multiLevelType w:val="hybridMultilevel"/>
    <w:tmpl w:val="2F2ACB6C"/>
    <w:lvl w:ilvl="0" w:tplc="A4C83838">
      <w:numFmt w:val="bullet"/>
      <w:lvlText w:val="-"/>
      <w:lvlJc w:val="left"/>
      <w:pPr>
        <w:ind w:left="720" w:hanging="360"/>
      </w:pPr>
      <w:rPr>
        <w:rFonts w:ascii="Calibri" w:eastAsia="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D8A412B"/>
    <w:multiLevelType w:val="hybridMultilevel"/>
    <w:tmpl w:val="7F9857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DED099D"/>
    <w:multiLevelType w:val="hybridMultilevel"/>
    <w:tmpl w:val="179860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5222334"/>
    <w:multiLevelType w:val="hybridMultilevel"/>
    <w:tmpl w:val="34121C44"/>
    <w:lvl w:ilvl="0" w:tplc="412229BA">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CA12AF1"/>
    <w:multiLevelType w:val="hybridMultilevel"/>
    <w:tmpl w:val="4F2801E8"/>
    <w:lvl w:ilvl="0" w:tplc="63844C00">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12C7BC1"/>
    <w:multiLevelType w:val="hybridMultilevel"/>
    <w:tmpl w:val="2584B1B0"/>
    <w:lvl w:ilvl="0" w:tplc="ABE86676">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63653F2"/>
    <w:multiLevelType w:val="hybridMultilevel"/>
    <w:tmpl w:val="4198D114"/>
    <w:lvl w:ilvl="0" w:tplc="A4C83838">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6B562B7"/>
    <w:multiLevelType w:val="hybridMultilevel"/>
    <w:tmpl w:val="A6FA4C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6EB7335"/>
    <w:multiLevelType w:val="hybridMultilevel"/>
    <w:tmpl w:val="3618A01E"/>
    <w:lvl w:ilvl="0" w:tplc="A4C83838">
      <w:numFmt w:val="bullet"/>
      <w:lvlText w:val="-"/>
      <w:lvlJc w:val="left"/>
      <w:pPr>
        <w:ind w:left="1797" w:hanging="360"/>
      </w:pPr>
      <w:rPr>
        <w:rFonts w:ascii="Calibri" w:eastAsia="Calibri" w:hAnsi="Calibri"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num w:numId="1">
    <w:abstractNumId w:val="14"/>
  </w:num>
  <w:num w:numId="2">
    <w:abstractNumId w:val="15"/>
  </w:num>
  <w:num w:numId="3">
    <w:abstractNumId w:val="9"/>
  </w:num>
  <w:num w:numId="4">
    <w:abstractNumId w:val="25"/>
  </w:num>
  <w:num w:numId="5">
    <w:abstractNumId w:val="21"/>
  </w:num>
  <w:num w:numId="6">
    <w:abstractNumId w:val="11"/>
  </w:num>
  <w:num w:numId="7">
    <w:abstractNumId w:val="31"/>
  </w:num>
  <w:num w:numId="8">
    <w:abstractNumId w:val="30"/>
  </w:num>
  <w:num w:numId="9">
    <w:abstractNumId w:val="3"/>
  </w:num>
  <w:num w:numId="10">
    <w:abstractNumId w:val="16"/>
  </w:num>
  <w:num w:numId="11">
    <w:abstractNumId w:val="34"/>
  </w:num>
  <w:num w:numId="12">
    <w:abstractNumId w:val="32"/>
  </w:num>
  <w:num w:numId="13">
    <w:abstractNumId w:val="28"/>
  </w:num>
  <w:num w:numId="14">
    <w:abstractNumId w:val="27"/>
  </w:num>
  <w:num w:numId="15">
    <w:abstractNumId w:val="5"/>
  </w:num>
  <w:num w:numId="16">
    <w:abstractNumId w:val="4"/>
  </w:num>
  <w:num w:numId="17">
    <w:abstractNumId w:val="18"/>
  </w:num>
  <w:num w:numId="18">
    <w:abstractNumId w:val="22"/>
  </w:num>
  <w:num w:numId="19">
    <w:abstractNumId w:val="27"/>
  </w:num>
  <w:num w:numId="20">
    <w:abstractNumId w:val="20"/>
  </w:num>
  <w:num w:numId="21">
    <w:abstractNumId w:val="8"/>
  </w:num>
  <w:num w:numId="22">
    <w:abstractNumId w:val="35"/>
  </w:num>
  <w:num w:numId="23">
    <w:abstractNumId w:val="7"/>
  </w:num>
  <w:num w:numId="24">
    <w:abstractNumId w:val="23"/>
  </w:num>
  <w:num w:numId="25">
    <w:abstractNumId w:val="13"/>
  </w:num>
  <w:num w:numId="26">
    <w:abstractNumId w:val="17"/>
  </w:num>
  <w:num w:numId="27">
    <w:abstractNumId w:val="6"/>
  </w:num>
  <w:num w:numId="28">
    <w:abstractNumId w:val="29"/>
  </w:num>
  <w:num w:numId="29">
    <w:abstractNumId w:val="2"/>
  </w:num>
  <w:num w:numId="30">
    <w:abstractNumId w:val="26"/>
  </w:num>
  <w:num w:numId="31">
    <w:abstractNumId w:val="24"/>
  </w:num>
  <w:num w:numId="32">
    <w:abstractNumId w:val="12"/>
  </w:num>
  <w:num w:numId="33">
    <w:abstractNumId w:val="19"/>
  </w:num>
  <w:num w:numId="34">
    <w:abstractNumId w:val="0"/>
  </w:num>
  <w:num w:numId="35">
    <w:abstractNumId w:val="36"/>
  </w:num>
  <w:num w:numId="36">
    <w:abstractNumId w:val="37"/>
  </w:num>
  <w:num w:numId="37">
    <w:abstractNumId w:val="1"/>
  </w:num>
  <w:num w:numId="38">
    <w:abstractNumId w:val="33"/>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313"/>
    <w:rsid w:val="0015651F"/>
    <w:rsid w:val="00253602"/>
    <w:rsid w:val="003622B6"/>
    <w:rsid w:val="008003BE"/>
    <w:rsid w:val="00894914"/>
    <w:rsid w:val="00940313"/>
    <w:rsid w:val="00C6776B"/>
    <w:rsid w:val="00D8674C"/>
    <w:rsid w:val="00EC21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91857-41A5-4F01-A735-FBF4D885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Paragraphedeliste">
    <w:name w:val="List Paragraph"/>
    <w:basedOn w:val="Normal"/>
    <w:uiPriority w:val="34"/>
    <w:qFormat/>
    <w:pPr>
      <w:ind w:left="720"/>
      <w:contextualSpacing/>
    </w:pPr>
  </w:style>
  <w:style w:type="character" w:customStyle="1" w:styleId="Titre1Car">
    <w:name w:val="Titre 1 Car"/>
    <w:basedOn w:val="Policepardfaut"/>
    <w:link w:val="Titre1"/>
    <w:uiPriority w:val="9"/>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Pr>
      <w:rFonts w:asciiTheme="majorHAnsi" w:eastAsiaTheme="majorEastAsia" w:hAnsiTheme="majorHAnsi" w:cstheme="majorBidi"/>
      <w:color w:val="2F5496" w:themeColor="accent1" w:themeShade="BF"/>
      <w:sz w:val="26"/>
      <w:szCs w:val="26"/>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styleId="Sous-titre">
    <w:name w:val="Subtitle"/>
    <w:basedOn w:val="Normal"/>
    <w:next w:val="Normal"/>
    <w:link w:val="Sous-titreCar"/>
    <w:uiPriority w:val="11"/>
    <w:qFormat/>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Pr>
      <w:rFonts w:eastAsiaTheme="minorEastAsia"/>
      <w:color w:val="5A5A5A" w:themeColor="text1" w:themeTint="A5"/>
      <w:spacing w:val="15"/>
    </w:rPr>
  </w:style>
  <w:style w:type="paragraph" w:styleId="En-ttedetabledesmatires">
    <w:name w:val="TOC Heading"/>
    <w:basedOn w:val="Titre1"/>
    <w:next w:val="Normal"/>
    <w:uiPriority w:val="39"/>
    <w:unhideWhenUsed/>
    <w:qFormat/>
    <w:pPr>
      <w:outlineLvl w:val="9"/>
    </w:pPr>
    <w:rPr>
      <w:lang w:eastAsia="fr-FR"/>
    </w:rPr>
  </w:style>
  <w:style w:type="paragraph" w:styleId="TM1">
    <w:name w:val="toc 1"/>
    <w:basedOn w:val="Normal"/>
    <w:next w:val="Normal"/>
    <w:autoRedefine/>
    <w:uiPriority w:val="39"/>
    <w:unhideWhenUsed/>
    <w:pPr>
      <w:spacing w:after="100"/>
    </w:pPr>
  </w:style>
  <w:style w:type="character" w:styleId="Lienhypertexte">
    <w:name w:val="Hyperlink"/>
    <w:basedOn w:val="Policepardfaut"/>
    <w:uiPriority w:val="99"/>
    <w:unhideWhenUsed/>
    <w:rPr>
      <w:color w:val="0563C1" w:themeColor="hyperlink"/>
      <w:u w:val="single"/>
    </w:rPr>
  </w:style>
  <w:style w:type="paragraph" w:styleId="TM2">
    <w:name w:val="toc 2"/>
    <w:basedOn w:val="Normal"/>
    <w:next w:val="Normal"/>
    <w:autoRedefine/>
    <w:uiPriority w:val="39"/>
    <w:unhideWhenUsed/>
    <w:pPr>
      <w:tabs>
        <w:tab w:val="left" w:pos="1540"/>
        <w:tab w:val="right" w:leader="dot" w:pos="9062"/>
      </w:tabs>
      <w:spacing w:after="100"/>
      <w:ind w:left="220"/>
    </w:pPr>
    <w:rPr>
      <w:rFonts w:ascii="Arial" w:eastAsiaTheme="minorEastAsia" w:hAnsi="Arial" w:cs="Arial"/>
      <w:noProof/>
      <w:lang w:eastAsia="fr-FR"/>
    </w:rPr>
  </w:style>
  <w:style w:type="paragraph" w:styleId="TM3">
    <w:name w:val="toc 3"/>
    <w:basedOn w:val="Normal"/>
    <w:next w:val="Normal"/>
    <w:autoRedefine/>
    <w:uiPriority w:val="39"/>
    <w:unhideWhenUsed/>
    <w:pPr>
      <w:spacing w:after="100"/>
      <w:ind w:left="440"/>
    </w:pPr>
    <w:rPr>
      <w:rFonts w:eastAsiaTheme="minorEastAsia" w:cs="Times New Roman"/>
      <w:lang w:eastAsia="fr-FR"/>
    </w:rPr>
  </w:style>
  <w:style w:type="character" w:styleId="Accentuationlgre">
    <w:name w:val="Subtle Emphasis"/>
    <w:basedOn w:val="Policepardfaut"/>
    <w:uiPriority w:val="19"/>
    <w:qFormat/>
    <w:rPr>
      <w:i/>
      <w:iCs/>
      <w:color w:val="404040" w:themeColor="text1" w:themeTint="BF"/>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362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217103">
      <w:bodyDiv w:val="1"/>
      <w:marLeft w:val="0"/>
      <w:marRight w:val="0"/>
      <w:marTop w:val="0"/>
      <w:marBottom w:val="0"/>
      <w:divBdr>
        <w:top w:val="none" w:sz="0" w:space="0" w:color="auto"/>
        <w:left w:val="none" w:sz="0" w:space="0" w:color="auto"/>
        <w:bottom w:val="none" w:sz="0" w:space="0" w:color="auto"/>
        <w:right w:val="none" w:sz="0" w:space="0" w:color="auto"/>
      </w:divBdr>
    </w:div>
    <w:div w:id="1319727171">
      <w:bodyDiv w:val="1"/>
      <w:marLeft w:val="0"/>
      <w:marRight w:val="0"/>
      <w:marTop w:val="0"/>
      <w:marBottom w:val="0"/>
      <w:divBdr>
        <w:top w:val="none" w:sz="0" w:space="0" w:color="auto"/>
        <w:left w:val="none" w:sz="0" w:space="0" w:color="auto"/>
        <w:bottom w:val="none" w:sz="0" w:space="0" w:color="auto"/>
        <w:right w:val="none" w:sz="0" w:space="0" w:color="auto"/>
      </w:divBdr>
    </w:div>
    <w:div w:id="214041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verine.guillou@loire-atlantique.fr"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2652C-C796-4F80-9237-2AC8461E7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5336</Characters>
  <Application>Microsoft Office Word</Application>
  <DocSecurity>4</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GUILLOU Severine</dc:creator>
  <cp:keywords/>
  <dc:description/>
  <cp:lastModifiedBy>MARITANO Elise</cp:lastModifiedBy>
  <cp:revision>2</cp:revision>
  <cp:lastPrinted>2020-12-09T07:50:00Z</cp:lastPrinted>
  <dcterms:created xsi:type="dcterms:W3CDTF">2021-03-29T09:26:00Z</dcterms:created>
  <dcterms:modified xsi:type="dcterms:W3CDTF">2021-03-29T09:26:00Z</dcterms:modified>
</cp:coreProperties>
</file>